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 52</w:t>
      </w:r>
    </w:p>
    <w:p>
      <w:r>
        <w:t>Bundesgericht (BGE), 1965-01-01, IT</w:t>
      </w:r>
    </w:p>
    <w:p>
      <w:r>
        <w:rPr>
          <w:b/>
        </w:rPr>
        <w:t xml:space="preserve">Quelle: </w:t>
      </w:r>
      <w:r>
        <w:t>https://mcp.opencaselaw.ch/entscheid/bge_BGE_91_II_52</w:t>
      </w:r>
    </w:p>
    <w:p>
      <w:r>
        <w:t>FR: ATF 91 II 52</w:t>
      </w:r>
    </w:p>
    <w:p>
      <w:r>
        <w:t>IT: DTF 91 II 52</w:t>
      </w:r>
    </w:p>
    <w:p>
      <w:pPr>
        <w:pStyle w:val="Heading2"/>
      </w:pPr>
      <w:r>
        <w:t>Regeste</w:t>
      </w:r>
    </w:p>
    <w:p>
      <w:r>
        <w:t>Regeste Berufung. Begriff der Zivilrechtsstreitigkeit (Art. 44 ff. OG). Das kantonale Urteil über ein Gesuch der Erben an den Willensvollstrecker, es sei ihnen ein Vorschuss auf ihr Erbbetreffnis auszurichten, unterliegt nicht der Berufung.</w:t>
      </w:r>
    </w:p>
    <w:p>
      <w:r>
        <w:t>Regeste Recours en réforme. Notion de la contestation civile (art. 44 ss OJ). La décision cantonale rendue sur une requête adressée par les héritiersà l'exécuteur testamentaire et tendant au versement d'un acompte sur leur part successorale n'est pas susceptible de recours en réforme.</w:t>
      </w:r>
    </w:p>
    <w:p>
      <w:r>
        <w:t>Regesto Ricorso per riforma. Nozione di causa civile (art. 44 e seg. OG). Il ricorso per riforma è irricevibile contro il giudizio cantonale sulla domanda di versamento di un acconto, interposta dagli eredi all'esecutore testamentario.</w:t>
      </w:r>
    </w:p>
    <w:p>
      <w:pPr>
        <w:pStyle w:val="Heading2"/>
      </w:pPr>
      <w:r>
        <w:t>Erwägungen</w:t>
      </w:r>
    </w:p>
    <w:p>
      <w:r>
        <w:rPr>
          <w:b/>
        </w:rPr>
        <w:t>E. 1</w:t>
      </w:r>
    </w:p>
    <w:p>
      <w:r>
        <w:t>Il ricorso per riforma non è ammissibile che nelle cause civili (contestations civiles, Zivilrechtsstreitigkeiten), ossia nei casi in cui tra due o più persone fisiche o giuridiche, nella loro qualità di titolari di diritti privati, oppure tra una siffatta persona ed una autorità alla quale la legge attribuisce qualità di parte, si sia svolto davanti al giudice civile o ad altra giurisdizione un procedimento contraddittorio tendente a far statuire in maniera definitiva e stabile su rapporti di diritto civile (RU 78 II 180 e inoltre 81 II 83, 182, 251 c. 2; 84 II 78 ). Il giudizio sulla richiesta di un acconto sulla quota ereditaria, che un erede rivolge all'esecutore testamentario, ove non esista una BGE 91 II 52 S. 55 questione di diritto materiale da risolvere, non disciplina in modo duraturo e definitivo un rapporto giuridico di merito controverso tra le parti. I suoi effetti non eccedono quelli di una misura provvisionale, presa per la durata del processo. Essi permangono fino al momento in cui, esaurite le contestazioni di inventario, quest'ultimo sarà definitivamente chiuso e le quote degli eredi pure definitivamente accertate. A seconda dell'ammontare di queste ultime, l'acconto sarà o suscettibile di integrazione o, meno probabilmente, sottoposto a riduzione e restituzione. Per il giudizio in questione, nella misura comunque in cui sia da esaminare unicamente l'opportunità del provvedimento chiesto in relazione all'entità ed alle disponibilità della successione, ai ragionevoli bisogni ed ai probabili diritti dell'erede istante, non sarebbe neppure indispensabile prevedere la forma del procedimento civile in contraddittorio davanti al giudice. Diversa potrebbe essere la soluzione, qualora, ad esempio, fosse contestata la qualità di erede dell'istante oppure l'esito della richiesta dipendesse dall'accertamento della volontà del testatore. Così nella sentenza 24 settembre 1964 Fides c. Diskont- und Handelsbank AG e consorti (RU 90 II 376) venne ammesso il carattere di causa civile di un procedimento tendente ad ottenere la destituzione, per incompatibilità tra le due cariche, di un esecutore testamentario, designato contemporaneamente dal de cuius quale membro del consiglio di una fondazione nella quale era stata investita la maggior parte del patrimonio della successione. In concreto la situazione è diversa. La richiesta di acconto degli istanti, dei quali è pacifica la veste di eredi necessari, non si urta a nessuna disposizione di ultima volontà del defunto padre. La norma divisionale secondo cui alla vedova deve pertoccare la sostanza immobiliare è accompagnata dall'obbligo esplicito di tacitare i coeredi per l'importo della loro legittima. Il testamento olografo 13 aprile 1959, invocato dal ricorrente che autorizza la vedova a garantire tale legittima mediante ipoteca, qualora non disponga al momento dei mezzi liquidi necessari per il suo pagamento, non venne pubblicato ed è superato dal successivo testamento del 17 marzo 1960. L'esecutore testamentario ha già provveduto al versamento di fr. 120 000.-- senza dover intaccare la sostanza immobiliare. La decisione del reclamo è dipesa e dipende unicamente BGE 91 II 52 S. 56 (come a ragione osservano le istanze cantonali) da criteri di pratica opportunità (rapporto tra l'acconto chiesto e l'importo minimo della quota ereditaria finora accertato, durata delle contestazioni di inventario, parità di trattamento tra gli eredi, mezzi a disposizione della successione, ecc.). La distinzione tra l'intervento dell'autorità di vigilanza per il controllo della correttezza formale e dell'opportunità dei provvedimenti presi dall'esecutore testamentario e quello del giudice, quando si trovino in discussione questioni di diritto sostanziale, che esigano segnatamente un'indagine sulla ultima volontà del testatore, è comune alla dottrina ed alla giurisprudenza (TUOR N. 30; ESCHER N. 25 e 27 all'art. 518 CC; SCHREIBER, L'exécution testamentaire en droit suisse, p. 93; SEEGER, Die Rechtsstellung des Willensvollstreckers, p. 83; CARRARD, Les pouvoirs de l'exécuteur testamentaire, p. 27/28; LOB, Les pouvoirs de l'exécuteur testamentaire en droit suisse, p. 111 ss.; RU 48 II 310, 49 II 15). Solo in quest'ultimo caso trattasi di procedimenti civili nel senso degli art. 43 e seg. OG. Nella prima ipotesi trattasi bensì di affari civili (affaires civiles, Zivilsachen), che non incidono però sulla portata sostanziale e sulla determinazione definitiva dei diritti degli eredi, e che vanno risolti unicamente dal profilo di una corretta amministrazione del patrimonio successorale. Nei loro confronti il ricorso per riforma è escluso. (Cfr. per qualche analogia RU 72 II 54). Solo entro tali limiti può essere mantenuta la decisione 30 settembre 1947 della IIa Corte civile quale Camera di diritto pubblico nella vertenza Rüegg c. Müller-Bösch, citata dal ricorrente. Ne discende l'irricevibilità del ricorso in esame. (Cfr. ancora LOB, op.cit., p. 114 No 108).</w:t>
      </w:r>
    </w:p>
    <w:p>
      <w:r>
        <w:rPr>
          <w:b/>
        </w:rPr>
        <w:t>E. 2</w:t>
      </w:r>
    </w:p>
    <w:p>
      <w:r>
        <w:t>Esaminato quale ricorso per nullità, in relazione ad una possibile violazione delle prescrizioni federali sulla competenza delle autorità per materia (art. 68 cpv. 1 lett. b OG), esso risulterebbe infondato. Secondo l'art. 518 cpv. 1 CC gli esecutori testamentari hanno gli stessi diritti e doveri dell'amministratore ufficiale di una successione. Quest'ultimo è sottoposto alla vigilanza dell'autorità alla quale gli eredi possono ricorrere contro gli atti che egli compie o intende compiere (art. 595 cpv. 3 CC). La designazione dell'autorità competente è compito dei cantoni (art. 54 titolo finale, RU 66 II 150). Il diritto federale non prescrive che per il reclamo debba BGE 91 II 52 S. 57 essere riservata la procedura ordinaria davanti al giudice civile (cfr. anche RU 86 I 333). Qualora si trovino in contestazione pretese di diritto sostanziale, il procedimento assumerebbe carattere di causa civile contro la quale è ammissibile il ricorso per riforma, ad esclusione di quello per nullità che è rimedio di diritto sussidiario.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