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395</w:t>
      </w:r>
    </w:p>
    <w:p>
      <w:r>
        <w:t>Bundesgericht (BGE), 1965-01-01, IT</w:t>
      </w:r>
    </w:p>
    <w:p>
      <w:r>
        <w:rPr>
          <w:b/>
        </w:rPr>
        <w:t xml:space="preserve">Quelle: </w:t>
      </w:r>
      <w:r>
        <w:t>https://mcp.opencaselaw.ch/entscheid/bge_BGE_91_II_395</w:t>
      </w:r>
    </w:p>
    <w:p>
      <w:r>
        <w:t>FR: ATF 91 II 395</w:t>
      </w:r>
    </w:p>
    <w:p>
      <w:r>
        <w:t>IT: DTF 91 II 395</w:t>
      </w:r>
    </w:p>
    <w:p>
      <w:pPr>
        <w:pStyle w:val="Heading2"/>
      </w:pPr>
      <w:r>
        <w:t>Regeste</w:t>
      </w:r>
    </w:p>
    <w:p>
      <w:r>
        <w:t>Regeste Begriff der Zivilrechtsstreitigkeit im Sinne der Artikel 44 und 46 OG (Erw. 1). Voraussetzungen der Zulässigkeit einer Nichtigkeitsbeschwerde nach Art. 68 und 71 OG (Erw. 2 und 3).</w:t>
      </w:r>
    </w:p>
    <w:p>
      <w:r>
        <w:t>Regeste Notion de la contestation civile au sens des art. 44 et 46 OJ (consid. 1 ). Conditions de la recevabilité du recours en nullité selon les art. 68 et 71 OJ (consid. 2 et 3).</w:t>
      </w:r>
    </w:p>
    <w:p>
      <w:r>
        <w:t>Regesto Nozione di causa civile a'sensi degli art. 44 e 46 OG (consid. 1). Presupposti per la ricevibilità del ricorso per nullità di cui agli art. 68 e 71 OG (consid. 2 e 3).</w:t>
      </w:r>
    </w:p>
    <w:p>
      <w:pPr>
        <w:pStyle w:val="Heading2"/>
      </w:pPr>
      <w:r>
        <w:t>Erwägungen</w:t>
      </w:r>
    </w:p>
    <w:p>
      <w:r>
        <w:rPr>
          <w:b/>
        </w:rPr>
        <w:t>E. 1</w:t>
      </w:r>
    </w:p>
    <w:p>
      <w:r>
        <w:t>Riservati i casi previsti dagli art. 44 lett. a, b, c, 45 lett. a, b OG, in concreto evidentemente inapplicabili, il ricorso per riforma è ammissibile solo nelle cause civili (RU 78 II 180, 81 II 251 consid. 2, 90 II 379 consid. 1). Per cause civili nel senso degli art. da 44 a 46 OG s'intendono i procedimenti tendenti a far statuire in modo definitivo su rapporti di diritto civile e che si svolgono in contradditorio, davanti a un giudice o altra giurisdizione, tra due o più persone fisiche o giuridiche nella loro qualità di titolari di diritti privati, oppure fra siffatte persone e un'autorità alla quale la legge attribuisce qualità di parte (RU 81 II 251 consid. 2, 90 II 379 consid. 1, 91 II 54). Il procedimento relativo al rilascio di un certificato ereditario non adempie le suindicate condizioni perchè, lasciando impregiudicate le azioni di nullità e di petizione di eredità (art. 559 cpv. 1 CC), non può essere inteso a far statuire in modo definitivo BGE 91 II 395 S. 397 su rapporti di diritto civile. L'autorità competente non vi pronuncia il riconoscimento di un diritto materiale, ma si limita a conferire alle persone menzionate nel certificato una legittimazione provvisoria a disporre degli oggetti dell'eredità (cfr. commentari ESCHER e TUOR/PICENONI N. 1 all'art. 559). Inoltre, il relativo procedimento non presuppone necessariamente un contradditorio fra più parti interessate ma, così come peraltro prescrive anche il codice di procedura civile ticinese (art. 534 combinato con l'art. 2 della legge di applicazione CC), si svolge nella giurisdizione non contenziosa, i cui atti non possono costituire oggetto di ricorso per riforma (RU 70 II 165, 82 II 364 consid. 2, 84 II 326). La ricorrente riconosce che, in genere, la giurisprudenza non ammette il ricorso per riforma nei procedimenti di giurisdizione non contenziosa (RU 57 II 400), ma pretende che, nei casi in cui siano stati invocati i combinati art. 22 cpv. 2 e 32 LR e 'art. 559 CC, sarebbero state fatte delle eccezioni. In realtà, nei procedimenti di giurisdizione non contenziosa, il Tribunale federale non ha mai ammesso il ricorso per riforma, neppurecome lo dimostra la stessa sentenza citata dalla ricorrente-sotto l'impero della vecchia OG. D'altronde non si vede quali motivi potrebbero giustificare una siffatta eccezione. Il ricorso per riforma non è dato per ogni violazione di diritto federale, ma soltanto per quelle fatte valere nelle cause civili. La ricorrente ha comunque la possibilità di invocare le norme suindicate nelle azioni di nullità e di petizione di eredità. Come ricorso per riforma, il gravame della ricorrente è pertanto irricevibile.</w:t>
      </w:r>
    </w:p>
    <w:p>
      <w:r>
        <w:rPr>
          <w:b/>
        </w:rPr>
        <w:t>E. 2</w:t>
      </w:r>
    </w:p>
    <w:p>
      <w:r>
        <w:t>Secondo la giurisprudenza (RU 81 II 141/142, consid. 1, 327, consid. 2), il gravame designato dal ricorrente come ricorso per riforma e irricevibile come tale può nondimeno essere esaminato come ricorso per nullità, se di questo rimedio adempie le condizioni; la denominazione inesatta di un ricorso non lo rende irricevibile (RU 86 II 142). La legge ( art. 69, 71 OG ) non prescrive per il ricorso per nullità delle esigenze formali più rigorose di quelle stabilite per il ricorso per riforma ( art. 54 e 55 OG). Al contrario, l' art. 71 OG non prescrive, come per il ricorso per riforma (art. 55 cpv. 1 OG), che l'atto di ricorso debba contenere, oltre alla designazione della decisione impugnata, anche quella della controparte. Ciò stante, il fatto rilevato dalla parte intimata, BGE 91 II 395 S. 398 che la ricorrente ha designato controparte invece di C e D, è irrilevante agli effetti della ricevibilità del ricorso per nullità. Il ricorso è tempestivo e, contenendo la designazione della sentenza impugnata, le conclusioni del ricorrente, il tenore di detta decisione, nonchè la motivazione dell'asserita violazione della legge, adempie i presupposti stabiliti all' art. 71 OG .</w:t>
      </w:r>
    </w:p>
    <w:p>
      <w:r>
        <w:rPr>
          <w:b/>
        </w:rPr>
        <w:t>E. 3</w:t>
      </w:r>
    </w:p>
    <w:p>
      <w:r>
        <w:t>Anche il ricorso per nullità è però ammissibile, non per ogni violazione del diritto federale, ma soltanto nei procedimenti e in quelle materie che sono chiaramente definiti dalla legge. Esso ha parzialmente sostituito nella vigente OG il ricorso di diritto civile della vecchia legge (BIRCHMEIER, p. 249). Ma l'attuale art. 68 OG non contiene l'esplicita possibilità di valersi di tale rimedio per le violazioni della LR, espressa nell'art. 87 num. 2 della vecchia OG, sotto il cui impero venne pronunciata la sentenza citata dalla ricorrente (RU 57 II 400). Secondo l'art. 68 cpv. 1 OG, il ricorso per nullità è ammissibile solo contro le decisioni pronunciate in ultima istanza cantonale, nei procedimenti civili nei quali non può essere interposto ricorso per riforma: "a) quando sia stato applicato diritto cantonale o straniero in luogo del diritto federale applicabile; b) quando siano state violate prescrizioni del diritto federale, come pure dei trattati internazionali conchiusi dalla Confederazione, sulla competenza delle autorità per materia o per territorio." È pacifico, ed è certo, che il diritto ticinese non prevede una possibilità di ricorso contro le sentenze del Tribunale di appello in applicazione dell'art. 534 cpv. 3 CPC. La sentenza impugnata è quindi di ultima istanza cantonale; è pure escluso che, come suesposto, possa costituire oggetto di ricorso per riforma. D'altronde è pacifico e indubbio che la sentenza impugnata è stata pronunciata in un procedimento civile (RU 72 II 309 consid. 2). Occorre tuttavia esaminare se le violazioni della legge fatte valere dalla ricorrente concernano le materie di cui alle lettere a, b dell' art. 68 OG . a) La ricorrente si limita a impugnare la menzione nel certificato ereditario dei figli del de cuius come eredi legittimari. A questo riguardo, essa rivolge alla Corte cantonale due censure: in via principale, di aver violato gli art. 22 cpv. 2 e 32 LR applicando diritto svizzero invece di diritto americano; in via subordinata, di aver erroneamente interpretato l'art. 559 CC. BGE 91 II 395 S. 399 Ora, il ricorso per nullità è ammissibile secondo l'art. 68 cpv. 1 lett. a quando sia stato applicato diritto straniero in luogo del diritto federale, ma non nel caso inverso, vale a dire quando sia stato applicato diritto federale invece di diritto straniero. Ciò risulta dalla chiara e compiuta dizione del testo di legge ed è conforme allo scopo della norma legale, risultante dai materiali legislativi, di garantire soltanto l'applicazione del diritto federale (Messaggio del CF nel FF ed. tedesca 1943, p. 131 e seg.; RU 82 II 124, consid. 2; BIRCHMEIER, p. 258). La censura subordinata della ricorrente concerne l'interpretazione e non l'applicabilità del diritto federale, onde non può, evidentemente, essere ammissibile a'sensi dell'art. 68 cpv. 1 lett. a OG. b) L'art. 68 cpv. 1 lett. b OG concerne le prescrizioni delle leggi federali e dei trattati internazionali, solo per quanto concernono la "competenza" delle autorità per materia e per territorio. La ricorrente afferma che la Corte cantonale avrebbe dovuto applicare la legge degli Stati Uniti d'America, la quale misconosce la parte legittima dei figli, ma non ha impugnato la competenza dell'autorità ticinese ad applicare in concreto detta legge. Anche a proposito dell'art. 68 cpv. 1 lett. b, il ricorso è pertanto irricevibile.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