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108</w:t>
      </w:r>
    </w:p>
    <w:p>
      <w:r>
        <w:t>Bundesgericht (BGE), 1965-01-01, FR</w:t>
      </w:r>
    </w:p>
    <w:p>
      <w:r>
        <w:rPr>
          <w:b/>
        </w:rPr>
        <w:t xml:space="preserve">Quelle: </w:t>
      </w:r>
      <w:r>
        <w:t>https://mcp.opencaselaw.ch/entscheid/bge_BGE_91_II_108</w:t>
      </w:r>
    </w:p>
    <w:p>
      <w:r>
        <w:t>FR: ATF 91 II 108</w:t>
      </w:r>
    </w:p>
    <w:p>
      <w:r>
        <w:t>IT: DTF 91 II 108</w:t>
      </w:r>
    </w:p>
    <w:p>
      <w:pPr>
        <w:pStyle w:val="Heading2"/>
      </w:pPr>
      <w:r>
        <w:t>Regeste</w:t>
      </w:r>
    </w:p>
    <w:p>
      <w:r>
        <w:t>Regeste 1. Bezeichnung der Person, für welche die Wechselbürgschaft geleistet wird (Erw. 1). 2. Wer zugunsten des Akzeptanten Wechselbürgschaft leistet, ist verpflichtet, selbst wenn der Blankowechsel durch Bezeichnung des Wechselnehmers vervollständigt worden ist: a) nach Protesterhebung mangels Zahlung gegenüber dem Akzeptanten (Rechtsnatur des Blankowechsels, der Wechselbürgschaft und der Verpflichtung des Akzeptanten); b) nach Zustellung des Zahlungsbefehls, die zur Erhebung der Aberkennungsklage geführt hat (Rechtsnatur der Aberkennungsklage) (Erw. 2).</w:t>
      </w:r>
    </w:p>
    <w:p>
      <w:r>
        <w:t>Regeste 1. Désignation de la personne pour laquelle l'avalest donné (consid.1). 2. Celui qui donne son aval en faveur de l'accepteur est obligé même si la lettre de change en blanc a été complétée, par l'indication de la personne du preneur, a) après le protêt faute de paiement dressé contre l'accepteur (nature de l'effet en blanc, de l'aval et de l'obligation de l'accepteur); b) après la notification du commandement de payer qui aboutit à l'ouverture de l'action en libération de dette (nature de cette action) (consid. 2).</w:t>
      </w:r>
    </w:p>
    <w:p>
      <w:r>
        <w:t>Regesto 1. Indicazione della persona per la quale è dato l'avallo (consid. 1). 2. Colui che dà l'avallo a favore dell'accettante è obbligato anche se la cambiale in bianco è stata completata, con l'indicazione del beneficiario, a) dopo il protesto per mancato pagamento levato nei confronti dell'accettante (natura dell'effetto in bianco, dell'avallo e dell'obbligazione dell'accettante); b) dopo la notifica del precetto esecutivo in seguito a cui è proposta un'azione di inesistenza di debito (natura di tale azione) (consid. 2).</w:t>
      </w:r>
    </w:p>
    <w:p>
      <w:pPr>
        <w:pStyle w:val="Heading2"/>
      </w:pPr>
      <w:r>
        <w:t>Erwägungen</w:t>
      </w:r>
    </w:p>
    <w:p>
      <w:r>
        <w:rPr>
          <w:b/>
        </w:rPr>
        <w:t>E. 1</w:t>
      </w:r>
    </w:p>
    <w:p>
      <w:r>
        <w:t>L'aval doit indiquer pour le compte de qui il est donné. A défaut de cette indication, il est réputé donné pour le tireur (art. 1021 al. 4 CO). Le recourant soutient que l'indication fait défaut en l'espèce. La jurisprudence toutefois n'exige pas une désignation expresse; il suffit que l'on puisse déduire sans équivoque, d'indices intrinsèques à la lettre de change, en faveur de qui l'aval est donné; il en est ainsi lorsque la déclaration suit immédiatement la signature de la personne cautionnée (RO 77 II 250; 83 II 211 ). Certes, la question est controversée. Mais le premier arrêt cité ne l'ignorait pas et le second connaît la doctrine publiée dans l'intervalle, notamment la critique de CARRY (Mélanges Sauser-Hall, p. 197). Il est d'autant moins indiqué de modifier la jurisprudence que la pratique cambiaire s'y est conformée: la sécurité juridique ajoute son poids à celui des arguments qui ont déterminé le choix en 1951. Aucune équivoque n'est possible en l'espèce. Les acceptations sont à leur place usuelle, sur la partie gauche et en travers du recto de l'effet. Immédiatement en dessous figurent les déclarations BGE 91 II 108 S. 110 d'aval, qui émanent des administrateurs de Frigo-Calor SA, l'accepteur. Il suit de là clairement, à la simple lecture, que les donneurs d'aval ont manifesté la volonté de garantir personnellement l'acceptation de la société.</w:t>
      </w:r>
    </w:p>
    <w:p>
      <w:r>
        <w:rPr>
          <w:b/>
        </w:rPr>
        <w:t>E. 2</w:t>
      </w:r>
    </w:p>
    <w:p>
      <w:r>
        <w:t>Le recourant entend se libérer parce que le tireur, s'il a respecté les accords intervenus, n'a indiqué la personne du preneur qu'après le protêt faute de paiement dressé contre l'accepteur et la notification du commandement de payer qui aboutit à l'ouverture de l'action. Lorsqu'une lettre de change porte une signature valable mais non point toutes les énonciations essentielles prévues par la loi, et qu'elle est remise et reçue dans l'idée que le preneur ou porteur et ses successeurs réguliers compléteront cet effet en blanc selon les accords intervenus, le souscripteur assume une obligation cambiaire (art. 1000 CO, lo LUL). Le complètement est une condition de l'exécution du débiteur: le porteur doit présenter une lettre de change complète au moment où il fait valoir sa créance (ARMINJON ET CARRY, La lettre de change et le billet à ordre, p. 230/231; MOSSA, Trattato della Cambiale, 3e éd., 1956, p. 323; STRANZ, Wechselrecht, 14e éd., rem. 7 ad art. 10; STAUB/STRANZ, Kommentar zum Wechselgesetz, 13e éd., rem 7 et 4 a ad art. 10). Selon la doctrine et la jurisprudence, l'effet peut être complété aussi longtemps que l'action cambiaire est possible, et même au cours du procès par lequel le porteur fait valoir sa créance (STAUB/STRANZ, rem. 8 ad art. 10; STRANZ, rem. 5 ad art. 10; MOSSA, p. 331; RGZ 108, p. 390). Tel est le principe. Vu la position du recourant, il appelle en l'espèce deux précisions. a) Selon l'art. 1022 al. 1 CO, le donneur d'aval est tenu de la même manière que celui dont il s'est porté garant: il répond comme si c'était lui qui avait signé au lieu de la personne cautionnée (STRANZ, rem. 4 ad art. 32). Lorsque celle-ci est l'accepteur, il peut être recherché sans protêt préalable (ARMINJON ET CARRY, p. 302; STRANZ, rem. 2 ad art. 32; STAUB-STRANZ, rem. 3 ad art. 32; MOSSA, p. 433). En effet, à défaut de paiement, le porteur a contre l'accepteur une action directe (art. 1018 al. 2 CO). Un protêt n'est nécessaire que pour exercer, en cas de présentation infructueuse, un recours contre les endosseurs, le tireur et les autres obligés (art. 1033 et 1034 al. 1 CO), non pour rechercher l'accepteur. Il s'ensuit qu'à l'égard de ce dernier, et du donneur d'aval qui s'oblige à ses côtés, la lettre de BGE 91 II 108 S. 111 change en blanc peut être complétée après le protêt, lorsque le porteur exécute ses droits (ARMINJON ET CARRY, p. 233; STAUB/STRANZ, rem. 8 ad art. 10; STRANZ, rem. 5 ad art. 10; RGZ 108 p. 390). S'étant porté garant de l'accepteur, le recourant pouvait donc être recherché sans présentation préalable et sans qu'un protêt fût dressé faute de paiement. L'irrégularité éventuelle de ces deux formalités, à l'observation desquelles sa responsabilité n'est pas subordonnée, n'empêche donc point que le porteur exécute ses droits contre lui après avoir complété l'effet. b) L'action en libération de dette instituée par l'art. 83 al. 2 LP est une action ordinaire de droit matériel qui ne tend pas à l'annulation de la décision de mainlevée, mais vise à faire constater l'inexistence ou le défaut d'exigibilité de la créance à la base de la poursuite (RO 68 III 85; "Bestand und Fälligkeit der Forderung bei Erlass des Zahlungsbefehls": RO 72 III 56; "ob im Moment des Erlasses des Zahlungsbefehls die Betreibungsforderung zu Recht bestand": RO 78 II 160). Elle ne se distingue de l'action en reconnaissance de dette prévue à l'art.79 LP que par le renversement du rôle des parties. Le demandeur peut y invoquer des moyens et exceptions qui ont pris naissance après la notification du commandement de payer, opposer en compensation une créance acquise depuis lors (RO 68 III 85, 87; 72 III 56 ); il est loisible au défendeur de fonder son droit sur un autre titre que celui qu'il a invoqué dans la procédure de poursuite et de mainlevée (RO 78 II 160), d'alléguer une cession ou un endossement intervenus au cours du procès (RO 83 II 214). Mais si l'on admet que le créancier puisse se prévaloir d'un autre titre que celui sur lequel il fonda sa poursuite, à plus forte raison peut-il s'appuyer sur le même titre complété selon les accords intervenus; si la cession et l'endossement en cours de procès justifient la créance déduite en justice, on y tiendra compte aussi d'une formalité - le complètement de l'effet en blanc - qui ne fonde pas l'obligation mais seulement le droit à l'exécution. En l'espèce, la lettre de change a été complétée le 6 juillet 1963, soit avant la mainlevée provisoire de l'opposition mais après la notification du commandement de payer au recourant. La créance cambiaire de l'intimé, en revanche, existait et était échue dès le 7 janvier précédent, soit avant cette notification; elle était complète lors de l'ouverture de l'action. Cela suffit. BGE 91 II 108 S. 112 On pourrait certes se demander si le complètement, nécessaire à l'exécution, ne doit pas être effectué avant qu'il soit fait état de la lettre de change par sa présentation ou sa production au cours de l'exécution. Cette question peut être réservée. En l'espèce, en effet, où l'on est en présence d'une poursuite ordinaire, le débiteur n'a pas exigé le dépôt du titre à l'office (art. 73 LP) et le créancier n'a fait usage de l'effet qu'au moment de la procédure de mainlevée, alors qu'il avait été complété. Peu importe que l'intimé l'ait présenté en blanc en vue de requérir la faillite d'un tiers, la société qui l'avait accepté: seule entre en considération la poursuite sur laquelle se fonde la présente action.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