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60</w:t>
      </w:r>
    </w:p>
    <w:p>
      <w:r>
        <w:t>Bundesgericht (BGE), 1965-01-01, DE</w:t>
      </w:r>
    </w:p>
    <w:p>
      <w:r>
        <w:rPr>
          <w:b/>
        </w:rPr>
        <w:t xml:space="preserve">Quelle: </w:t>
      </w:r>
      <w:r>
        <w:t>https://mcp.opencaselaw.ch/entscheid/bge_BGE_91_III_60</w:t>
      </w:r>
    </w:p>
    <w:p>
      <w:r>
        <w:t>FR: ATF 91 III 60</w:t>
      </w:r>
    </w:p>
    <w:p>
      <w:r>
        <w:t>IT: DTF 91 III 60</w:t>
      </w:r>
    </w:p>
    <w:p>
      <w:pPr>
        <w:pStyle w:val="Heading2"/>
      </w:pPr>
      <w:r>
        <w:t>Regeste</w:t>
      </w:r>
    </w:p>
    <w:p>
      <w:r>
        <w:t>Regeste Pfändung einer Forderung, die - neben andern, im Ausland befindlichen Gegenständen - als Pfand für eine Forderung desselben Gläubigers gegen einen Dritten haftet. 1. Bei der Schätzung der pfandbelasteten Forderung fällt nur der für die pfändenden Gläubiger verfügbare Überschuss in Betracht, und es ist entsprechend dem Ergebnis die Pfändung auf anderes Vermögen des Schuldners auszudehnen. Art. 97 und 126 SchKG. (E. 1 und 2 a). 2. Die Verwertung wird sich auf die derzeit pfandbelastete Forderung beschränken lassen, wenn diese inzwischen pfandfrei geworden ist und einen genügenden Erlös ergibt. (Erw. 2 b). 3. Die Einrede des Schuldners, der Gläubiger habe sich für seine pfandgesicherte Forderung gegen den Dritten in erster Linie an die andern Pfänder zu halten, hindert den Fortgang der Betreibung nicht. Wie ist sie allenfalls nach durchgeführter Verwertung zu berücksichtigen? (E. 2 c).</w:t>
      </w:r>
    </w:p>
    <w:p>
      <w:r>
        <w:t>Regeste Saisie d'une créance engagée - avec d'autres objets situés à l'étranger - en garantie d'une prétention du créancier poursuivant contre un tiers. 1. L'estimation de la créance constituée en gage ne vise que l'excédent à la disposition des créanciers saisissants; selon le résultat, il faut étendre la saisie à d'autres biens du débiteur. Art. 97 et 126 LP (consid. 1 et 2 a). 2. La réalisation portera sur cette seule créance - pour l'instant constituée en gage - si elle est dégrevée dans l'intervalle et se révèle suffisante (consid. 2 b). 3. La poursuite n'est point arrêtée lorsque le débiteur soutient que le créancier, pour réaliser la créance garantie qu'il possède contre le tiers, doit s'en prendre d'abord aux autres gages. Comment tenir compte de cette exception, du moins après la réalisation? (consid. 2 c).</w:t>
      </w:r>
    </w:p>
    <w:p>
      <w:r>
        <w:t>Regesto Pignoramento di un credito che - accanto ad altri oggetti situati all'estero - è costituito in pegno a garanzia d'una pretesa vantata dal medesimo creditore nei confronti di un terzo. 1. Nella stima del credito costituito in pegno occorre tener conto soltanto dell'eccedenza disponibile per il creditore pignorante;secondo il risultato, si dovrà estendere il pignoramento ad altri beni del debitore. Art. 97 e 126 LEF (consid. 1 e 2 a). 2. La realizzazione sarà limitata al credito attualmente costituito in pegno, se tale credito è stato nel frattempo svincolato e permette un ricavo sufficiente (consid. 2 b). 3. L'eccezione del debitore, secondo cui il creditore, per il credito ch'egli possiede contro il terzo, deve in primo luogo attenersi agli altri pegni, non impedisce la continuazione dell'esecuzione. Come tener conto di tale eccezione, almeno dopo la realizzazione? (consid. 2 c).</w:t>
      </w:r>
    </w:p>
    <w:p>
      <w:pPr>
        <w:pStyle w:val="Heading2"/>
      </w:pPr>
      <w:r>
        <w:t>Erwägungen</w:t>
      </w:r>
    </w:p>
    <w:p>
      <w:r>
        <w:rPr>
          <w:b/>
        </w:rPr>
        <w:t>E. 1</w:t>
      </w:r>
    </w:p>
    <w:p>
      <w:r>
        <w:t>Nach Art. 97 Abs. 2 SchKG soll nicht mehr gepfändet werden, als nötig ist, um die pfändenden Gläubiger für ihre Forderungen samt Zinsen und Kosten zu befriedigen. Somit hat die nach Abs. 1 daselbst vorzunehmende Schätzung denjenigen Betrag anzugeben, der bei der Verwertung des einzelnen Gegenstandes vermutlich für die pfändenden Gläubiger verfügbar sein wird. Bestehen an einem Gegenstand Pfandrechte, die den Rechten der pfändenden Gläubiger vorgehen, so ist daher vom realen Wert der Betrag der aus dem Erlös vorweg zu deckenden Pfandforderungen abzuziehen. Denn für die pfändenden Gläubiger ist nur ein die vorgehenden Ansprüche übersteigender Betrag verfügbar, und nach dem Deckungsprinzip des Art. 126 SchKG kann der Gegenstand überhaupt nur bei Erreichung eines solchen Überschusses dem Meistbietenden zugeschlagen werden. BGE 91 III 60 S. 63 Davon ausgehend, erachtet die Vorinstanz die betreibungsamtliche Schätzung des unter Nr. 43 gepfändeten Guthabens auf den bloss symbolischen Betrag von Fr. 100.-- als gerechtfertigt und das Begehren des Schuldners um Beschränkung der Pfändung auf diesen Gegenstand als unbegründet. Zwar wurde das Guthaben von Fr. 936'591.25 im Kollokationsverfahren anerkannt, und es entfällt darauf in der Nachlassliquidation, wie die Vorinstanz feststellt, ein Nettobetreffnis von Fr. 753'949. -. Das Guthaben hat also an und für sich diesen Wert. Ist aber, was die Vorinstanz aus dem Deckungsprinzip folgert, jenes als Erlös zu betrachtende Betreffnis vorweg auf die pfandgesicherte Forderung der Handelsbank gegen die Rubtex Co. anzuweisen - die sich mit den Nebenforderungen auf etwa Fr. 1'000,000.-- beläuft -, so ist einstweilen mit einem für die pfändenden Gläubiger verfügbaren Überschuss gar nicht zu rechnen, was die Schätzungsweise des Betreibungsamtes als zutreffend und die Pfändung weiterer Gegenstände als begründet erscheinen lässt. Der Schuldner will dies wegen der für die Forderung gegen die Rubtex Co. bestehenden mehrfachen Pfandsicherheit nicht gelten lassen. Er hält es für unzulässig, nun gerade das eine Pfand, nämlich die in den vorliegenden Betreibungen gegen ihn gepfändete Forderung gegen die Löw-Schuhfabriken AG, ganz für jene noch anderweitig pfandgesicherte Forderung in Anspruch zu nehmen und diesen Gegenstand deshalb als für die in Betreibung stehenden Forderungen gegen ihn selbst sozusagen wertlos zu betrachten. Vielmehr wäre die Handelsbank nach seiner Ansicht verpflichtet, in einem (bisher nicht angehobenen) Pfandverwertungsverfahren in erster Linie auf den Posten Textilmaschinen (oben A lit. a) zu greifen. Denn einmal lasse sich aus diesem einzigen Pfandposten (wie die von ihm beantragte, von der Vorinstanz zu Unrecht abgelehnte Schätzung ergeben werde) jene gegen die Rubtex Co. gerichtete Forderung vollständig tilgen, während die andern Pfänder (auch das in den vorliegenden Betreibungen gepfändete Guthaben gegen die Löw-Schuhfabriken AG) einzeln nicht dazu ausreichen würden. Und sodann verstosse es gegen Treu und Glauben, "wenn der gleiche Gläubiger für eine andere Forderung den gleichen Schuldner auspfänden lässt und in dieser Pfändung alle ihm verpfändeten Vermögenswerte für die Deckung der mehrfach pfandgesicherten, nicht in Betreibung BGE 91 III 60 S. 64 gesetzten Forderung beansprucht." Die Rubtex Co. habe übrigens nach der Darstellung der Handelsbank eigenes Vermögen, so dass es gar nicht sicher zum Griff auf Pfänder zu kommen brauche. Sollte aber "gegen jede vernünftige Erwartung" der Erlös aus dem Pfändungsgegenstand Nr. 43 in einem so hohen Masse als Ausfalldeckung für die Pfandforderung gegen die Rubtex Co. dienen müssen, dass nicht mehr genug zur völligen Tilgung der hier in Betreibung stehenden Forderungen übrig bliebe, so bestünde immer noch die Möglichkeit einer Nachpfändung.</w:t>
      </w:r>
    </w:p>
    <w:p>
      <w:r>
        <w:rPr>
          <w:b/>
        </w:rPr>
        <w:t>E. 2</w:t>
      </w:r>
    </w:p>
    <w:p>
      <w:r>
        <w:t>Die Einwendungen des Schuldners halten einer nähern Prüfung nicht stand. a) Aus dem Vorhandensein weiterer für die Forderung der Handelsbank gegen die Rubtex Co. haftender Pfänder - die, weil im Ausland liegend, in der Schweiz nicht gepfändet werden konnten - lässt sich gegen die von der Vorinstanz bestätigte Schätzung nichts einwenden. Das Schiedsgerichtsurteil stellt die drei Pfänder auf gleiche Linie. Somit haftet das in den vorliegenden Betreibungen für andere (gegen den Rekurrenten gehende) Forderungen gepfändete Guthaben gegen die Löw-Schuhfabriken AG als Pfand für jene Forderung gegen die Rubtex AG in vollem Umfange neben den andern Pfändern, solange die Pfandforderung besteht. Mit Recht nimmt die Vorinstanz daher an, das auf den Gegenstand Nr. 43 entfallende Liquidationsbetreffnis habe einstweilen als Pfanddeckung für die Forderung gegen die Rubtex Co. unangetastet zu bleiben und sei daher für die pfändenden Gläubiger nur mit einem symbolischen Betrag in Rechnung zu stellen, was die Pfändung anderer Sachen vollauf rechtfertige. b) Es muss dem Schuldner anheim gestellt bleiben, falls er dazu in der Lage ist, dahin zu wirken, dass es, bevor die vorliegenden Betreibungen in das Verwertungsstadium treten, zur Tilgung jener pfandgesicherten Forderung gegen die Rubtex Co. kommt (und zwar ohne Eintritt eines zahlenden Dritten in die Gläubigerrechte), womit der Pfändungsgegenstand Nr. 43 pfandfrei würde. Sollte dies geschehen, so könnte dieser Gegenstand zu Gunsten der pfändenden Gläubiger verwertet, d.h. das vom Betreibungsamt eingezogene Liquidationsbetreffnis an sie ausgerichtet werden, und es würden sich weitere Verwertungen wohl erübrigen. Mit der Herbeiführung einer solchen Lösung hat sich das Betreibungsamt dagegen nicht zu BGE 91 III 60 S. 65 befassen, und es steht dem Schuldner auch nicht zu, den Gang der vorliegenden Betreibungen zu hemmen, um allenfalls mit beträchtlichem Zeitaufwande den Gegenstand Nr. 43 aus der Pfandhaftung zu befreien. Vollends geht es nicht an, dieses heute noch ganz ungewisse Erlöschen des am Gegenstand Nr. 43 bestehenden Pfandrechts gewissermassen als bereits erfolgt anzusehen und den realen Wert dieses Gegenstandes, ohne Abzug des Pfandvorganges, zu Gunsten der betreibenden Gläubiger für die gegen den Rekurrenten gerichteten Forderungen in Rechnung zu stellen. c) Der Schuldner hält freilich dafür, die uneingeschränkte Anwendung des Deckungsprinzips führe im vorliegenden Falle zu einer übermässigen, der Handelsbank nicht zustehenden, ja gegen Treu und Glauben verstossenden Inanspruchnahme des am Pfändungsgegenstand Nr. 43 bestehenden Pfandrechts für die noch anderweitig pfandgesicherte Forderung gegen die Rubtex Co. Dem ist jedoch nicht beizustimmen. Die betreibenden Gläubiger haben Anspruch darauf, die in das Fortsetzungsstadium getretene Betreibung Nr. 216 ihren gesetzlichen Fortgang nehmen zu lassen. Der Schuldner hat diese ordentliche Betreibung nicht im Sinne des Art. 41 SchKG angefochten, um die Handelsbank auf die Verwertung der Pfänder (nämlich der auch für die Forderung gegen die Rubtex Co. haftenden Textilmaschinen und Glaswaren) zu verweisen. Das hätte durch Beschwerde gegen den Zahlungsbefehl geschehen müssen (vgl. BGE 73 III 14 , BGE 77 III 2 ; für die Entscheidung wäre das Recht der Ortslage der Pfänder, also ausländisches Recht, anwendbar gewesen; vgl. BGE 65 III 92 ff.). Wenn die Handelsbank nun die Betreibung fortsetzt, so ist sie dabei lediglich an die Vorschriften des SchKG gebunden. Es geht nicht an, den nach Art. 97 SchKG gerechtfertigten Umfang der Pfändung zu beschränken aus dem Gesichtspunkt, dass jene Bank die Möglichkeit und allenfalls die zivilrechtliche Pflicht habe, unverzüglich gegen die Rubtex Co. vorzugehen und dabei in erster Linie die im Auslande liegenden Pfänder in Anspruch zu nehmen. Sollte der Schuldner im Verwertungsstadium darauf beharren, dass die Handelsbank nach Zivilrecht (insbesondere nach Treu und Glauben) nicht berechtigt sei, sich aus dem unter Nr. 43 gepfändeten Guthaben für ihre Forderung gegen die Rubtex Co. zu befriedigen, bevor sie versucht hat, sich aus den im Ausland liegenden Pfändern Deckung zu verschaffen, BGE 91 III 60 S. 66 so könnte dies nur einen Grund bilden, ihr bis zur Austragung dieser Streitfrage die Auszahlung des auf den Gegenstand Nr. 43 entfallenden Verwertungs- bezw. Liquidationsbetreffnisses vorzuenthalten. Das Betreffnis wäre aber gleichwohl zur allfälligen Deckung der durch es pfandgesicherten Forderung einstweilen aufzubehalten und nicht etwa auf Rechnung der in Betreibung stehenden gegen den Rekurrenten auszuzahlen. Es darf dem Zweck, als Pfanddeckung für die Forderung der Handelsbank gegen die Rubtex Co. zu dienen, nicht entfremdet werden, solange das Pfandrecht an diesem Gegenstande nicht erloschen ist. d) Die blosse Möglichkeit, dass das Pfandrecht an dem unter Nr. 43 gepfändeten Guthaben wegfallen wird, bevor es zur Verwertung anderer Pfändungsgegenstände kommen muss, rechtfertigt es, wie in lit. b) hievor ausgeführt, nicht, von vornherein von der Pfändung weiterer Gegenstände abzusehen. Die betreibenden Gläubiger dürfen bei der gegebenen Sachlage - da der Gegenstand Nr. 43 jedenfalls bis auf weiteres gänzlich als Deckung für die Pfandforderung gegen die Rubtex Co. zu dienen hat - nicht auf eine allenfalls später vorzunehmende Nachpfändung verwiesen werden, sondern haben Anspruch auf eine den heutigen Verhältnissen entsprechende, genügende Pfändung.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