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328</w:t>
      </w:r>
    </w:p>
    <w:p>
      <w:r>
        <w:t>Bundesgericht (BGE), 1964-12-16, DE</w:t>
      </w:r>
    </w:p>
    <w:p>
      <w:r>
        <w:rPr>
          <w:b/>
        </w:rPr>
        <w:t xml:space="preserve">Quelle: </w:t>
      </w:r>
      <w:r>
        <w:t>https://mcp.opencaselaw.ch/entscheid/bge_BGE_90_I_328</w:t>
      </w:r>
    </w:p>
    <w:p>
      <w:r>
        <w:t>FR: ATF 90 I 328</w:t>
      </w:r>
    </w:p>
    <w:p>
      <w:r>
        <w:t>IT: DTF 90 I 328</w:t>
      </w:r>
    </w:p>
    <w:p>
      <w:pPr>
        <w:pStyle w:val="Heading2"/>
      </w:pPr>
      <w:r>
        <w:t>Regeste</w:t>
      </w:r>
    </w:p>
    <w:p>
      <w:r>
        <w:t>Regeste Eigentumsgarantie; Enteignung. Offentliches Interesse als Voraussetzung der Enteignung. Erschliessung von Bauland als Aufgabe im öffentlichen Interesse. Das öffentliche Interesse wird durch gleichlaufende private Interessen nicht ausgeschlossen, solange diese nicht offensichtlich die Oberhand haben. Abänderbarkeit von Strassen- und Baulinienplänen.</w:t>
      </w:r>
    </w:p>
    <w:p>
      <w:r>
        <w:t>Regeste Garantie de la propriété; expropriation. L'intérêt public, condition de l'expropriation. L'équipement des terrains à bâtir, tâche d'intérêt public. L'intérêt public d'une entreprise n'est pas exclu par le fait qu'elle favorise aussi des intérêts privés, pourvu que ceux-ci ne l'emportent pas manifestement. Possibilité de modifier des plans de routes et d'alignements de construction.</w:t>
      </w:r>
    </w:p>
    <w:p>
      <w:r>
        <w:t>Regesto Garanzia della proprietà; espropriazione. Interesse pubblico quale presupposto dell'espropriazione. Assestamento di terreni a scopi edili quale compito di interesse pubblico. L'interesse pubblico non è escluso da interessi privati concomitanti, purchè questi ultimi non abbiano manifestamente il sopravvento. Possibilità di modificare piani stradali e piani di allineamento delle costruzioni.</w:t>
      </w:r>
    </w:p>
    <w:p>
      <w:pPr>
        <w:pStyle w:val="Heading2"/>
      </w:pPr>
      <w:r>
        <w:t>Erwägungen</w:t>
      </w:r>
    </w:p>
    <w:p>
      <w:r>
        <w:rPr>
          <w:b/>
        </w:rPr>
        <w:t>E. 3</w:t>
      </w:r>
    </w:p>
    <w:p>
      <w:r>
        <w:t>Das verfassungsmässige Erfordernis des öffentlichen Interesses ist nach der Rechtsprechung (vgl. Urteile vom 4. Februar 1959 i.S. Aeberhardt, Erw. 2, und vom 6. Februar 1963 i.S. Schneider, Erw. 1), erfüllt, wenn zwei Voraussetzungen gegeben sind: das Unternehmen, welches das Enteignungsrecht in Anspruch nimmt, muss seiner Zwecksetzung und tatsächlichen Wirksamkeit nach dem öffentlichen Wohle dienen; die zu enteignende Sache muss sodann für das Unternehmen und seine Betätigung im Dienste des öffentlichen Wohles notwendig sein (BLUMENSTEIN, Die verfassungsmässigen Grundlagen des Expropriationsdekrets, MBVR 46 S. 210; EGER, Enteignung von Grundeigentum, 3. Aufl. Bd. 1 S. 21 f.). Dabei genügt es nicht, dass die abzutretende Sache für die Durchführung des Unternehmens geeignet wäre; ihre Erwerbung muss vielmehr unumgänglich sein, um das im öffentlichen Interesse liegende Ziel zu erreichen. Das ist freilich nicht nur dann anzunehmen, wenn das Unternehmen ohne die Sache überhaupt nicht durchführbar wäre, sondern schon dann, wenn es ohne sie nicht zweckmässig oder nur mit einem unverhältnismässigen Mehraufwand ausgeführt werden könnte (BLUMENSTEIN, a.a.O., S. 213; FLEINER, Institutionen, 8. Aufl., S. 311; IMBODEN, Schw. Verwaltungsrechtsprechung, 2. Aufl. S. 298 c; JELLINEK, Deutsches BGE 90 I 328 S. 332 Verwaltungsrecht, 3. Aufl., S. 404). Diese unmittelbar aus der Verfassung fliessenden Grundsätze kommen auch in der Umschreibung der Voraussetzungen der Enteignung in Art. 1 Abs. 2 des st. gallischen Enteignungsgesetzes zum Ausdruck. a) Gemäss den Erwägungen des Entscheides vom 22. Oktober 1963, auf die der angefochtene Entscheid verweist, dient die geplante Strasse A nicht nur den Interessen eines Privaten, sondern der Erschliessung mehrerer Grundstücke. Die Erschliessung von Bauland aber bildet eine Aufgabe, die im öffentlichen Interesse liegt ( BGE 88 I 253 mit Verweisungen). Es kann allerdings nicht übersehen werden, dass die Erstellung von Erschliessungsstrassen zugleich auch die privaten Interessen der Anstösser fördert, die deshalb regelmässig zu Kostenbeiträgen herangezogen werden. Das spricht indes so lange nicht gegen das Vorhandensein eines öffentlichen Interesses, als die in der gleichen Richtung laufenden privaten Interessen nicht offensichtlich die Oberhand haben ( BGE 88 I 253 mit Verweisungen). Bei Strassenbauten steht das öffentliche Interesse im Allgemeinen so lange im Vordergrund, als es mehrere Grundstücke zu erschliessen gilt oder die Erschliessung im Hinblick auf die Schaffung einer grösseren Zahl von Wohn- oder Arbeitsstätten erfolgt. Die projektierte Strasse A erschliesst eine Reihe von Bauplätzen auf der Talseite der Strasse. Der Regierungsrat konnte daher mit Fug davon ausgehen, es handle sich um ein im öffentlichen Interesse liegendes Unternehmen. b) Eine andere Frage ist es, ob es nicht möglich wäre, die erwähnten Grundstücke dem Verkehr zu erschliessen, ohne das verlangte Land in Anspruch zu nehmen. Die Beschwerdeführer bestreiten das und machen geltend, die vom Stadtplaner Marti vorgeschlagene Strasse Al vermöchte bei kleinerem Landbedarf mehr Parzellen zu erschliessen als die Strasse A, die teilweise über ihre Grundstücke führt. Entgegen ihrer Meinung ist diese BGE 90 I 328 S. 333 Frage dem Regierungsrat nicht entgangen. Der Entscheid vom 22. Oktober 1963, auf den sich der angefochtene Entscheid beruft, erklärt dazu, die Linienführung der Strasse sei durch den vom Kanton genehmigten rechtskräftigen Strassen- und Baulinienplan vom 22. August 1958/28. Dezember 1959, der von den Rekurrenten erfolglos angefochten worden sei, festgelegt. Der Regierungsrat nimmt damit auf den Entscheid vom 19. Februar 1963 Bezug, worin er den Vorschlag auf Ersatz der Strasse A durch die vom Stadtplaner Marti vorgesehene Strasse Al abgelehnt hat. Bei Prüfung der dagegen erhobenen Einwendungen fällt in Betracht, dass ein Strassen- und Baulinienplan entgegen den Ausführungen der kantonalen Instanz nicht (materiell) rechtskräftig wird; er ist vielmehr grundsätzlich jederzeit abänderbar. Im Interesse der Rechtssicherheit haben die Planungsbehörden sich jedoch bei der Änderung der Pläne Zurückhaltung aufzuerlegen. Der Plan dient nicht nur dazu, die bauliche Entwicklung eines Gebietes im öffentlichen Interesse in bestimmte Bahnen zu lenken; er soll zugleich auch den einzelnen Grundeigentümern gestatten, ihr Land bestmöglich auszunützen. Beiden Aufgaben wird der Plan nur dann gerecht, wenn er eine gewisse Beständigkeit aufweist (BONNARD, La jurisprudence récente du Tribunal fédéral en matière de garantie de la propriété, ZBJV 101 S. 133). Ein Plan ist deshalb nur aus gewichtigen Gründen abzuändern. Ob solche vorliegen, haben die Planungsbehörden in Abwägung der sich gegenüberstehenden Interessen nach pflichtgemässem Ermessen zu entscheiden. Das Bundesgericht übt keine Ermessenskontrolle aus: Es greift nur ein, wenn die zum Sachentscheid berufene kantonale Behörde ihr Ermessen missbraucht oder überschritten, das heisst willkürlich gehandhabt hat (vgl. BGE 88 I 252 , 294; BGE 89 I 196 ). Die Rüge der Missachtung der Eigentumsgarantie erschöpft sich daher insofern im Vorwurf BGE 90 I 328 S. 334 der Verletzung des Art. 4 BV . Dieser Einwand ist hier nicht gerechtfertigt. Der Regierungsrat anerkennt zwar die technischen Vorteile der vorgeschlagenen neuen Lösung; er erachtet das Interesse an der Aufrechterhaltung des bestehenden Planes aber als gewichtiger. Trotz der Bedeutung, die dem Gebote der Rechtssicherheit nach dem Gesagten im Planungsrecht zukommt, mag es als fragwürdig erscheinen, diesen Gesichtspunkt unter den gegebenen Umständen derart in den Vordergrund zu rücken; es lässt sich aber nicht sagen, die Betrachtungsweise des Regierungsrates sei völlig unsachgemäss und schliesse einen Ermessensmissbrauch in sich. Die Beschwerde erweist sich damit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