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90 I 212</w:t>
      </w:r>
    </w:p>
    <w:p>
      <w:r>
        <w:t>Bundesgericht (BGE), 1964-09-30, FR</w:t>
      </w:r>
    </w:p>
    <w:p>
      <w:r>
        <w:rPr>
          <w:b/>
        </w:rPr>
        <w:t xml:space="preserve">Quelle: </w:t>
      </w:r>
      <w:r>
        <w:t>https://mcp.opencaselaw.ch/entscheid/bge_BGE_90_I_212</w:t>
      </w:r>
    </w:p>
    <w:p>
      <w:r>
        <w:t>FR: ATF 90 I 212</w:t>
      </w:r>
    </w:p>
    <w:p>
      <w:r>
        <w:t>IT: DTF 90 I 212</w:t>
      </w:r>
    </w:p>
    <w:p>
      <w:pPr>
        <w:pStyle w:val="Heading2"/>
      </w:pPr>
      <w:r>
        <w:t>Regeste</w:t>
      </w:r>
    </w:p>
    <w:p>
      <w:r>
        <w:t>Regeste Art. 4 BV. Willkür. Darf die Kapitalleistung, welche der Steuerpflichtige als Begünstigter einer von seinem Arbeitgeber für das Personal seiner Unternehmung abgeschlossenen Kollektivlebensversicherung erhält, als steuerbares Einkommen behandelt werden?</w:t>
      </w:r>
    </w:p>
    <w:p>
      <w:r>
        <w:t>Regeste Art. 4 Cst. Imposition, au titre du revenu global, du capital que le contribuable a touché comme bénéficiaire d'une assurance-vie collective conclue par son employeur au profit du personnel de l'entreprise. Arbitraire.</w:t>
      </w:r>
    </w:p>
    <w:p>
      <w:r>
        <w:t>Regesto Art. 4 CF. Imposizione, a titolo di reddito complessivo, del capitale che il contribuente ha ricevuto come beneficiario di un'assicurazione collettiva sulla vita conclusa dal suo datore di lavoro a favore del personale dell'azienda. Arbitrio.</w:t>
      </w:r>
    </w:p>
    <w:p>
      <w:pPr>
        <w:pStyle w:val="Heading2"/>
      </w:pPr>
      <w:r>
        <w:t>Erwägungen</w:t>
      </w:r>
    </w:p>
    <w:p>
      <w:r>
        <w:rPr>
          <w:b/>
        </w:rPr>
        <w:t>E. 1</w:t>
      </w:r>
    </w:p>
    <w:p>
      <w:r>
        <w:t>C'est en qualité de bénéficiaire d'une police collective d'assurance sur la vie que la recourante a touché la somme de 10 000 fr. dont elle conteste l'imposition. Ce capital a donc manifestement sa source dans la police et en provient au sens de l'art. 20 LI. L'autorité cantonale refuse cependant de l'exonérer de l'impôt sur le revenu global en vertu de cette disposition, par le motif que celle-ci ne s'appliquerait pas aux capitaux touchés conformément à des contrats d'assurance-vie collectifs conclus en connexité avec des contrats de travail. La distinction que l'autorité cantonale voudrait ainsi établir, loin de trouver un appui dans le texte clair de l'art. 20 LI, est en contradiction manifeste avec lui. Elle n'échapperait dès lors au grief d'arbitraire que s'il existait des raisons sérieuses d'admettre que l'interprétation conforme au texte ne correspond pas au sens véritable de la loi; de telles raisons peuvent résulter de la genèse du texte, de son fondement, de son but ou de ses rapports BGE 90 I 212 S. 215 avec d'autres règles légales (RO 87 I 16). Tel n'est pas le cas. En Suisse les versements en capital faits aux employés d'une entreprise par une institution de prévoyance ou une compagnie d'assurance sont fréquemment exonérés de l'impôt sur le revenu par les lois ou la jurisprudence (WIRZ, Die Personal-Wohlfahrtseinrichtungen der schweizerischen Privatwirtschaft und ihre Stellung im Steuerrecht, 1955, p. 399; PETERMANN, L'imposition des assurances de personnes en Suisse, Archives de droit fiscal suisse, t. 22, année 1953-1954, p. 155, no 47; LÄUBLIN, Die steuerrechtliche Behandlung der Lebensversicherung nach den Steuergesetzen des Bundes und der Kantone, Revue fiscale, 1960, p. 208). D'après les mêmes auteurs, cette franchise coexiste souvent avec l'imposition au titre du revenu des rentes versées aux bénéficiaires en vertu d'un contrat d'assurance collectif. Ce système n'est donc pas rare en droit positif et l'on ne saurait dès lors affirmer, eu égard au texte clair de l'art. 20 LI, que le législateur fribourgeois n'a pas pu le vouloir.</w:t>
      </w:r>
    </w:p>
    <w:p>
      <w:r>
        <w:rPr>
          <w:b/>
        </w:rPr>
        <w:t>E. 2</w:t>
      </w:r>
    </w:p>
    <w:p>
      <w:r>
        <w:t>Au reste, le versement d'un capital assuré et celui de rentes dans l'assurance collective liée à un contrat de travail diffèrent du point de vue économique aussi bien que juridique, même s'ils ont la même fonction sociale et il est pour le moins douteux que, du point de vue de l'impôt sur le revenu, l'exonération du premier avec assujettissement du second crée une inégalité de traitement aussi choquante que le croit l'autorité fribourgeoise. On peut au contraire considérer qu'elle prévient une certaine forme de double imposition, qui se produit nécessairement si le capital, tout d'abord imposé comme revenu, l'est une seconde fois dans le produit (intérêts, etc.) qu'en peut tirer le bénéficiaire. Quoi qu'il en soit, ces considérations d'opportunité relèvent de l'appréciation du législateur; l'autorité chargée d'appliquer la loi n'a pas à se substituer à lui et doit s'en tenir au texte clair, qui la lie, sauf si des raisons sérieuses BGE 90 I 212 S. 216 font apparaître - comme on l'a dit plus haut - que ce texte ne rend pas le véritable sens de la loi. Or de telles raisons n'existent pas en l'espèce.</w:t>
      </w:r>
    </w:p>
    <w:p>
      <w:r>
        <w:rPr>
          <w:b/>
        </w:rPr>
        <w:t>E. 3</w:t>
      </w:r>
    </w:p>
    <w:p>
      <w:r>
        <w:t>Par surabondance de droit, l'intimée a invoqué, à l'appui de sa thèse, l'art. 2 al. 2 de la loi fribourgeoise du 27 février 1959, loi qui a introduit la taxation bisannuelle pour l'impôt cantonal. Cet article prescrit le mode d'imposition pour la première période de taxation de deux ans (années 1959 et 1960). Il n'a donc qu'une portée limitée à cette période et rien ne permet d'admettre qu'il ait modifié le système légal et notamment l'art. 20 LI, touchant la définition des recettes non imposables au titre du revenu. Selon sa teneur l'art. 2 al. 2 vise non pas les capitaux d'assurance, mais seulement leur revenu. On n'en peut donc tirer aucune conclusion quelconque touchant l'imposition de ces capitaux, pour laquelle l'art. 20 LI demeure seul déterminant.</w:t>
      </w:r>
    </w:p>
    <w:p>
      <w:r>
        <w:rPr>
          <w:b/>
        </w:rPr>
        <w:t>E. 4</w:t>
      </w:r>
    </w:p>
    <w:p>
      <w:r>
        <w:t>Il suit de là que l'application de l'art. 20 LI dans la décision entreprise est entachée d'arbitraire. Aussi bien son caractère artificiel et incompatible avec le système de la loi cantonale ressort-il du fait que l'intimée a reculé devant la rigueur des conséquences qu'aurait entraînées l'application du taux ordinaire d'imposition. Bien qu'aucune base légale ne le justifiât, elle a appliqué non pas ce taux, mais celui qui aurait été prescrit si la recourante avait touché, non un capital, mais des prestations périodiques, c'est-à-dire une rente correspondante. Elle a donc adopté la règle posée par l'art. 40 al. 2 AIN. Encore n'estce qu'en partie, car, si elle s'était entièrement conformée à cette disposition, elle n'aurait imposé que 4/5 du capital et calculé le taux en ne tenant compte que de la somme ainsi réduite (art. 21 bis al. 1 lit. a AIN, auquel renvoie l'art. 40 al. 2 AIN).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