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201</w:t>
      </w:r>
    </w:p>
    <w:p>
      <w:r>
        <w:t>Bundesgericht (BGE), 1964-01-01, FR</w:t>
      </w:r>
    </w:p>
    <w:p>
      <w:r>
        <w:rPr>
          <w:b/>
        </w:rPr>
        <w:t xml:space="preserve">Quelle: </w:t>
      </w:r>
      <w:r>
        <w:t>https://mcp.opencaselaw.ch/entscheid/bge_BGE_90_I_201</w:t>
      </w:r>
    </w:p>
    <w:p>
      <w:r>
        <w:t>FR: ATF 90 I 201</w:t>
      </w:r>
    </w:p>
    <w:p>
      <w:r>
        <w:t>IT: DTF 90 I 201</w:t>
      </w:r>
    </w:p>
    <w:p>
      <w:pPr>
        <w:pStyle w:val="Heading2"/>
      </w:pPr>
      <w:r>
        <w:t>Regeste</w:t>
      </w:r>
    </w:p>
    <w:p>
      <w:r>
        <w:t>Regeste Art. 86 und 87 OG. Erschöpfung des kantonalen Instanzenzuges. Die in Art. 184 Abs. 2 SchKG vorgesehene Klage auf Zahlung ist ein kantonales Rechtsmittel, von dem Gebrauch zu machen ist vor der Erhebung einer staatsrechtlichen Beschwerde gegen den Entscheid, mit welchem in einer Wechselbetreibung der Rechtsvorschlag auf Grund von Art. 182 Ziff. 4 SchKG bewilligt wurde (Erw. 1). Art. 4 BV, 181 und 182 Ziff. 4 SchKG. Willkür. Nicht willkürlich ist - die Annahme, dass die Nichtbeachtung der in Art. 181 SchKG vorgesehenen Frist von 5 Tagen die Bewilligung des Rechtsvorschlags nicht nichtig mache. - die Gewährung einer Frist von einigen Tagen zur Hinterlegung der Sicherheiten gemäss Art. 182 Ziff. 4 SchKG, sofern diese Frist vor dem Entscheid über die Bewilligung des Rechtsvorschlags abläuft (Erw. 2).</w:t>
      </w:r>
    </w:p>
    <w:p>
      <w:r>
        <w:t>Regeste Art. 86 et 87 OJ. Epuisement des moyens de droit cantonal. L'action en paiement de l'art. 184 al. 2 LP est un moyen de droit cantonal, qui doit être utilisé avant de former un recours de droit public contre une décision déclarant l'opposition à une poursuite pour effet de change recevable en vertu de l'art. 182 ch. 4 LP (consid. 1). Art. 4 Cst, 181 et 182 ch. 4 LP. Arbitraire. N'est pas arbitraire: - la décision refusant d'annuler un prononcé statuant sur la recevabilité d'une opposition à une poursuite de change et rendu après le délai de cinq jours prévu par l'art. 181 LP. - le fait d'accorder un délai de quelques jours pour fournir les sûretés de l'art. 182 ch. 4 LP, lorsque ce délai expire avant le jugement sur la recevabilité de l'opposition (consid. 2).</w:t>
      </w:r>
    </w:p>
    <w:p>
      <w:r>
        <w:t>Regesto Art. 86 e 87 OG. Esaurimento dei rimedi di diritto cantonale. L'azione di pagamento di cui all'art. 184 cpv. 2 LEF è un rimediodi diritto cantonale che dev'essere esperito prima di interporre ricorso di diritto pubblico contro una decisione confermante, in un'esecuzione cambiaria, l'opposizione fondata sull'art. 182 num. 4 LEF (consid. 1). Art. 4 CF, 181 e 182 num. 4 LEF. Arbitrio. Non vi è arbitrio: - nella decisione statuente che l'inosservanza da parte del giudice del termine di 5 giorni stabilito all'art. 181 LEF non comporta la nullità dell'ammissione dell'opposizione; - nel concedimento di un termine di alcuni giorni per fornire le garanzie di cui all'art. 182 num. 4 LEF, in quanto questo termine scada prima della decisione circa la conferma dell'opposizione (consid. 2).</w:t>
      </w:r>
    </w:p>
    <w:p>
      <w:pPr>
        <w:pStyle w:val="Heading2"/>
      </w:pPr>
      <w:r>
        <w:t>Erwägungen</w:t>
      </w:r>
    </w:p>
    <w:p>
      <w:r>
        <w:rPr>
          <w:b/>
        </w:rPr>
        <w:t>E. 1</w:t>
      </w:r>
    </w:p>
    <w:p>
      <w:r>
        <w:t>Qu'il soit formé contre une décision finale ou contre une décision incidente, le recours de droit public pour violation de l'art. 4 Cst. suppose l'épuisement préalable des moyens de droit cantonal (art. 86 et 87 OJ; RO 87 I 106). La notion de moyen de droit cantonal est large. Elle comprend non seulement les voies de recours ordinaires et extraordinaires (RO 89 I 126/127), mais, d'une façon plus générale, toutes les voies de droit par lesquelles il est possible d'éliminer le préjudice juridique allégué dans le recours de droit public (RO 84 I 171/172, 87 I 106). En l'espèce, la juridiction cantonale a déclaré l'opposition recevable en vertu des art. 182 ch. 4 LP et 1007 CO. Elle a considéré que le recourant avait agi de mauvaise foi. Elle lui a imparti le délai de dix jours de l'art. 184 al. 2 LP pour intenter devant la juridiction ordinaire ses actions en paiement. De fait, le recourant a introduit ces procès. Ceux-ci sont précisément destinés à faire examiner par le juge le mérite de l'exception de mauvaise foi basée sur l'art. 1007 CO. Si le tribunal saisi considère que l'exception est mal fondée, il condamnera Fingerco à payer les sommes réclamées, à moins qu'elle ne doive être libérée pour une autre raison. Ainsi, les actions introduites par le recourant lui permettront, s'il a gain de cause, d'éliminer le préjudice juridique qu'il subit du fait de l'admission de l'opposition. Elles constituent dès lors des moyens de droit cantonal au sens des art. 86 et 87 OJ. Comme elles n'ont pas encore été jugées, l'exigence légale de l'épuisement des instances cantonales n'est pas remplie (cf. RO 82 I 81). Le recours de droit public est dès lors irrecevable dans la mesure où il a pour objet une violation prétendûment arbitraire des art. 182 ch. 4 LP et 1007 CO. Il n'y a pas BGE 90 I 201 S. 205 lieu d'examiner si la solution serait la même dans l'hypothèse où l'opposition aurait été reçue en vertu des ch. 1, 2 ou 3 de l'art. 182 LP.</w:t>
      </w:r>
    </w:p>
    <w:p>
      <w:r>
        <w:rPr>
          <w:b/>
        </w:rPr>
        <w:t>E. 2</w:t>
      </w:r>
    </w:p>
    <w:p>
      <w:r>
        <w:t>Selon l'art. 181 LP, le juge statue sur la recevabilité de l'opposition "au plus tard dans les cinq jours". En l'espèce, il s'est prononcé sur la recevabilité de l'opposition à la poursuite de 100 000 fr. le 29 juin 1964, c'est-à-dire vingt-quatre jours après l'audience de reprise de cause du 5 juin. Le recourant y voit un déni de justice et une violation manifeste de la LP. La Cour de justice a écarté ce grief en exposant que l'inobservation par le juge du délai de l'art. 181 LP n'était pas un motif de nullité du prononcé. Cette opinion n'est pas arbitraire. Elle est défendue par de bons auteurs (JAEGER, rem. 5 ad art. 181). D'ailleurs, si le premier juge a statué trois semaines après la reprise de cause, c'est principalement pour pouvoir entendre les parties personnellement. Or, au regard de la complexité de l'affaire, cette mesure, prise dans l'intérêt des deux parties, pouvait être considérée comme justifiée, voire nécessaire (FRITZSCHE, vol. II, p. 23). Le grief présenté sur ce point est dès lors mal fondé. Le recourant se réfère aussi à l'art. 182 ch. 4 LP, selon lequel l'opposant qui se prévaut de l'art. 1007 CO doit déposer "au préalable" le montant de l'effet en espèces ou autres valeurs. Il en conclut qu'il a été victime d'un acte arbitraire puisque, contrairement au texte clair de cette disposition, Fingerco a joui d'un délai d'une semaine pour consigner le montant en poursuite. Toutefois, interprété à la lettre, les termes "au préalable" signifient simplement que le dépôt doit être effectué avant le jugement. Tel a été le cas en l'espèce, la consignation ayant eu lieu le 12 juin, soit quinze jours avant le jugement. Au surplus, la doctrine et la jurisprudence ne prennent pas à la lettre les mots "au préalable". Elles admettent que l'opposant consigne les valeurs en cause dans un très court délai après le jugement, voire en seconde instance seulement (JAEGER, rem. 13 ad art. 182, y compris suppl. 1915; BGE 90 I 201 S. 206 FRITZSCHE, vol. II p. 25). Le recourant ne peut dès lors se plaindre d'aucun acte arbitraire quant au délai accordé à l'intimé pour déposer avant le prononcé la somme liti. gieuse.</w:t>
      </w:r>
    </w:p>
    <w:p>
      <w:r>
        <w:rPr>
          <w:b/>
        </w:rPr>
        <w:t>E. 3</w:t>
      </w:r>
    </w:p>
    <w:p>
      <w:r>
        <w:t>La Chambre de céans aurait pu discuter la recevabilité du recours du point de vue de la nature de la décision attaquée et de ses effets (décision finale ou incidente, préjudice irréparable causé par cette décision dans le cas où elle serait incidente). Elle aurait pu faire de même quant à la qualité du recourant pour se plaindre du déni de justice consistant dans la violation de l'art. 181 LP, puisqu'en définitive un jugement a été rendu. Il n'y a pas lieu cependant de trancher ces questions, vu l'argumentation contenue dans les considérants 1 et 2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