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195</w:t>
      </w:r>
    </w:p>
    <w:p>
      <w:r>
        <w:t>Bundesgericht (BGE), 1955-03-16, DE</w:t>
      </w:r>
    </w:p>
    <w:p>
      <w:r>
        <w:rPr>
          <w:b/>
        </w:rPr>
        <w:t xml:space="preserve">Quelle: </w:t>
      </w:r>
      <w:r>
        <w:t>https://mcp.opencaselaw.ch/entscheid/bge_BGE_90_I_195</w:t>
      </w:r>
    </w:p>
    <w:p>
      <w:r>
        <w:t>FR: ATF 90 I 195</w:t>
      </w:r>
    </w:p>
    <w:p>
      <w:r>
        <w:t>IT: DTF 90 I 195</w:t>
      </w:r>
    </w:p>
    <w:p>
      <w:pPr>
        <w:pStyle w:val="Heading2"/>
      </w:pPr>
      <w:r>
        <w:t>Regeste</w:t>
      </w:r>
    </w:p>
    <w:p>
      <w:r>
        <w:t>Regeste Schutz der Gewässer gegen Verunreinigung. BG vom 16. März 1955. 1. Notwendigkeit von Schutzvorkehren, wenn der Hauseigentümer Heizöl in der Nähe eines der Versorgung der Bevölkerung dienenden Grundwasserstromes lagert (Erw. 3). 2. Wahl der Sicherheitsmassnahmen; Tragweite einer von der kantonalen Behörde im Verfahren vor Bundesgericht abgegebenen Erklärung (Erw. 4). 3. Vorbehalt künftiger Massnahmen, die den Gewässerschutz besser gewährleisten würden (Erw. 5).</w:t>
      </w:r>
    </w:p>
    <w:p>
      <w:r>
        <w:t>Regeste Protection des eaux contre la pollution. LF du 16 mars 1955. 1. Des mesures de protection sont nécessaires lorsque le propriétaire d'une maison entrepose du mazout dans le voisinage d'un cours d'eau souterain utilisé en vue de la consommation (consid. 3). 2. Choix des mesures de sécurité; portée d'une déclaration de l'autorité cantonale au cours de la procédure devant le Tribunal fédéral (consid. 4). 3. Sont réservées, pour l'avenir, des mesures qui se révéleraient mieux à même d'assurer la protection des eaux (consid. 5).</w:t>
      </w:r>
    </w:p>
    <w:p>
      <w:r>
        <w:t>Regesto Protezione delle acque dall'inquinamento. LF del 16 marzo 1955. 1. Necessità di provvedimenti di protezione quando il proprietario di una casa deposita nafta nelle vicinanze di un corso d'acqua sotterraneo servente all'approvvigionamento della popolazione (consid. 3). 2. Scelta delle misure di sicurezza; portata di una dichiarazione rilasciata dall'autorità cantonale nel corso della procedura davanti al Tribunale federale (consid. 4). 3. Riserva, per l'avvenire, di misure che meglio garantirebbero la protezione delle acque (consid. 5).</w:t>
      </w:r>
    </w:p>
    <w:p>
      <w:pPr>
        <w:pStyle w:val="Heading2"/>
      </w:pPr>
      <w:r>
        <w:t>Erwägungen</w:t>
      </w:r>
    </w:p>
    <w:p>
      <w:r>
        <w:rPr>
          <w:b/>
        </w:rPr>
        <w:t>E. 3</w:t>
      </w:r>
    </w:p>
    <w:p>
      <w:r>
        <w:t>Das eidg. Gewässerschutzgesetz verpflichtet in Art 2 Abs. 1 die zu seinem Vollzug zuständigen Behörden, gegen die Verunreinigung der ober- und unterirdischen Gewässer diejenigen Massnahmen zu ergreifen, die notwendig sind zum Schutze der Gesundheit von Mensch und Tier, zur Verwendung von Grund- und Quellwasser als Trink- und Brauchwasser usw.; insbesondere haben die Behörden nach Art. 4 Abs. 4 dafür zu sorgen, dass für die Lagerung von Öl in Tanks die zum Schutz von Gewässern nötigen baulichen und technischen Vorrichtungen erstellt werden ( BGE 84 I 155 Erw. 2; BGE 86 I 195 Erw. 5). Im vorliegenden Fall sind solche Schutzvorkehren unumgänglich; denn aus dem vom Gericht eingeholten Gutachten ergibt sich zweifelsfrei, dass die Ölbehälter, welche die Beschwerdeführer im Boden versenkt haben, in der Nähe eines der Versorgung der Bevölkerung mit Trink- und Brauchwasser dienenden bedeutenden Grundwasserstromes - wenn nicht sogar direkt darüber - liegen und dass der gegenwärtige Zustand dieser Behälter die Gefahr einer Verunreinigung des für die genannten Zwecke verwendeten Grundwassers durch ausfliessendes Öl in sich birgt. Allerdings sind andere Ölbehälter in der Gegend, namentlich solche des Bundes, noch nicht mit den erforderlichen Schutzvorrichtungen versehen. Daraus kann jedoch nicht abgeleitet werden, dass im Falle der Beschwerdeführer BGE 90 I 195 S. 199 von Schutzvorkehren abgesehen werden darf. Vielmehr werden auch in jenen anderen Fällen so bald wie möglich die notwendigen Massnahmen angeordnet und durchgeführt werden müssen. Auf die Höhe der Kosten der zu treffenden Massnahmen ist nicht Rücksicht zu nehmen, wo es, wie hier, um die Sicherstellung gesunden Trink- und Brauchwassers geht ( Art. 2 Abs. 3 GSchG ; BGE 84 I 155 ff., Erw. 2 und 3; BGE 86 I 195 ff., Erw. 5 und 7 a).</w:t>
      </w:r>
    </w:p>
    <w:p>
      <w:r>
        <w:rPr>
          <w:b/>
        </w:rPr>
        <w:t>E. 4</w:t>
      </w:r>
    </w:p>
    <w:p>
      <w:r>
        <w:t>Der Oberamtmann des Sensebezirkes hat verfügt, dass die Beschwerdeführer die Ölbehälter gemäss Anordnung der kantonalen Gewässerschutzkommission in dichte Betonschalen zu verlegen haben. Der Staatsrat hat diese Verfügung im angefochtenen Entscheide bestätigt. Die Gerichtsexperten haben zwei Lösungen ins Auge gefasst, einerseits die Verlegung der Tanks in Betonwannen und anderseits die Auskleidung der Tanks mit Kunststoff-Folien, kombiniert mit der Installation von Leckwarngeräten, Überfüllsicherungen und Beobachtungsrohren. Sie haben die zweite Lösung empfohlen. Das Eidg. Departement des Innern teilt diese Auffassung nicht; es erachtet den Einbau von Betonwannen oder -schalen als die bessere Sicherung. Indessen hat der Staatsrat schliesslich die Erklärung abgegeben, dass er an Stelle einer Betonkonstruktion auch die von den Gerichtsexperten befürwortete - weniger kostspielige - Lösung (Auskleidung mit Plastik usw.) annehmen könne (Eingabe von 25. Mai 1964, Ziff. 2). Er überlässt damit die Wahl zwischen den beiden in Betracht fallenden Lösungen den Beschwerdeführern. In diesem Sinne hat er den angefochtenen Entscheid abgeschwächt und das in der Antwortschrift gestellte, auf Abweisung der Beschwerde schlechthin lautende Rechtsbegehren eingeschränkt. Das Gericht, das nicht über die Rechtsbegehren der Parteien hinausgehen darf ( Art. 109 Abs. 1 OG ), hat sich an diese Einschränkung zu halten. Es behaftet den Staatsrat bei der erwähnten Erklärung BGE 90 I 195 S. 200 und gibt den Beschwerdeführern Kenntnis von ihr. In diesem Sinne ist die Beschwerde teilweise gutzuheissen.</w:t>
      </w:r>
    </w:p>
    <w:p>
      <w:r>
        <w:rPr>
          <w:b/>
        </w:rPr>
        <w:t>E. 5</w:t>
      </w:r>
    </w:p>
    <w:p>
      <w:r>
        <w:t>Das eidg. Gewässerschutzgesetz verpflichtet die vollziehenden Behörden allgemein, im einzelnen Fall das zum Schutz der Gewässer gegen Verunreinigung Erforderliche anzuordnen. Die Behörden müssen sowohl künftige Verunreinigungen verhindern als auch bestehende Missstände beseitigen (Art. 2 ff., inbesondere Art. 3 Abs. 3, Art. 4 Abs. 3, Art. 6 GSchG ). Dabei haben sie den technischen Möglichkeiten Rechnung zu tragen; anderseits haben sie insoweit, als es sich um die Sicherstellung gesunden Trink- und Brauchwassers handelt, keine Rücksicht auf die durch die Massnahmen entstehende wirtschaftliche und finanzielle Belastung zu nehmen ( Art. 2 Abs. 3 GSchG ). Aus dieser gesetzlichen Ordnung ergibt sich für den vorliegenden Fall, dass die (im erwähnten Sinne eingeschränkte) Entscheidung des Staatsrates nicht unabänderlich ist, sondern von der kantonalen Behörde jederzeit und ohne Rücksicht auf die den Beschwerdeführern (oder ihren Rechtsnachfolgern) entstehenden Kosten durch andere, wirksamere Anordnungen zum Schutze des für die öffentliche Wasserversorgung verwendeten Grundwassers ersetzt werden kann, wenn sich dies auf Grund neuer tatsächlicher Feststellungen und nach dem Stande der Technik als möglich und notwendig erweist. Solchen neuen Anordnungen könnte nicht die Rechtskraft der früheren Entscheidung entgegenhalten werden, und sie würden auch - wie die frühere Entscheidung - keine Entschädigungspflicht des Gemeinwesens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