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128</w:t>
      </w:r>
    </w:p>
    <w:p>
      <w:r>
        <w:t>Bundesgericht (BGE), 1964-06-19, DE</w:t>
      </w:r>
    </w:p>
    <w:p>
      <w:r>
        <w:rPr>
          <w:b/>
        </w:rPr>
        <w:t xml:space="preserve">Quelle: </w:t>
      </w:r>
      <w:r>
        <w:t>https://mcp.opencaselaw.ch/entscheid/bge_BGE_90_I_128</w:t>
      </w:r>
    </w:p>
    <w:p>
      <w:r>
        <w:t>FR: ATF 90 I 128</w:t>
      </w:r>
    </w:p>
    <w:p>
      <w:r>
        <w:t>IT: DTF 90 I 128</w:t>
      </w:r>
    </w:p>
    <w:p>
      <w:pPr>
        <w:pStyle w:val="Heading2"/>
      </w:pPr>
      <w:r>
        <w:t>Regeste</w:t>
      </w:r>
    </w:p>
    <w:p>
      <w:r>
        <w:t>Regeste Schwcizerbürgerrecht: Status des ausserehelichen Kindes eincr schweizerischen Mutter, das vom Vater, einem tunesischen Staatsangehörigen, anerkannt und dann durch die Eheschliessung des Vaters mit der Mutter legitimiert worden ist.</w:t>
      </w:r>
    </w:p>
    <w:p>
      <w:r>
        <w:t>Regeste Nationalité suisse: Statut de l'enfant illégitime né d'une mère suisse, reconnu par son père, ressortissant tunisien, puis légitimé par le mariage de sa mère avec son père.</w:t>
      </w:r>
    </w:p>
    <w:p>
      <w:r>
        <w:t>Regesto Cittadinanza svizzera: Statuto del figlio naturale nato da madre svizzera, riconosciuto dal padre, cittadino tunisino, indi legittimato mediante matrimonio fra i genitori.</w:t>
      </w:r>
    </w:p>
    <w:p>
      <w:pPr>
        <w:pStyle w:val="Heading2"/>
      </w:pPr>
      <w:r>
        <w:t>Erwägungen</w:t>
      </w:r>
    </w:p>
    <w:p>
      <w:r>
        <w:rPr>
          <w:b/>
        </w:rPr>
        <w:t>E. 1</w:t>
      </w:r>
    </w:p>
    <w:p>
      <w:r>
        <w:t>Der Beschwerdeführer hat das ursprünglich bei der Gemeinde Wynau gestellte Gesuch um Einbürgerung fallen lassen und im Verfahren nach Art. 49 des Bundesgesetzes über Erwerb und Verlust des Schweizerbürgerrechts vom 29. September 1952 die Feststellung verlangt, dass er das Schweizerbürgerrecht besitze. Der in diesem Verfahren vom Regierungsrat des Kantons Bern getroffene Entscheid unterliegt gemäss Art. 50 Abs. 1 Ziff. 2 lit. c des genannten Gesetzes der Verwaltungsgerichtsbeschwerde.</w:t>
      </w:r>
    </w:p>
    <w:p>
      <w:r>
        <w:rPr>
          <w:b/>
        </w:rPr>
        <w:t>E. 2</w:t>
      </w:r>
    </w:p>
    <w:p>
      <w:r>
        <w:t>Art. 57 Abs. 2 desselben Gesetzes bestimmt, dass Erwerb und Verlust des Schweizerbürgerrechts von Gesetzes wegen sich nach dem bei Eintritt des massgebenden Tatbestandes geltenden Recht richten. Da es hier um die Wirkungen der am 25. November 1932 erfolgten ausserehelichen Geburt des Beschwerdeführers, seiner am 5. Dezember 1932 ausgesprochenen Anerkennung durch den Vater und seiner Legitimation durch die am 18. Dezember 1934 geschlossene Ehe seiner Eltern geht, sind die damals gültigen Regeln anwendbar, also - neben den in erster Linie für die internen schweizerischen Verhältnisse aufgestellten Vorschriften des ZGB - die durch die Rechtsprechung des Bundesgerichts herausgearbeiteten Grundsätze für das internationale Verhältnis, die im wesentlichen auf der entsprechenden Anwendung des ZGB und auf den Prinzipien der Einheit der Familie und der Vermeidung von Heimatlosigkeit beruhen. Danach erwarben die ausserehelichen Kinder - entsprechend der internen Regelung der Art. 324 und 325 ZGB - die Heimatangehörigkeit der Mutter, ausser wenn sie infolge freiwilliger Anerkennung oder Zusprechung mit Standesfolge diejenige des Vaters erhielten ( BGE 54 I 232 Erw. 3; SAUSER-HALL, La nationalité en BGE 90 I 128 S. 131 droit suisse, S. 7). Heiraten die Eltern eines ausserehelichen Kindes einander, so wird dieses gemäss Art. 258 und 270 ZBG von Gesetzes wegen ehelich und erhält das Bürgerrecht des Vaters; damit verliert es das bisherige Bürgerrecht der Mutter (die ja selbst ebenfalls ihre Heimatangehörigkeit wechselt) (SAUSER-HALL, a.a.O., S. 6). Im internationalen Verhältnis galt schon in der hier in Frage stehenden Zeit die gleiche Regel mit der Einschränkung, dass der Verlust des Schweizerbürgerrechts für Mutter und Kind nur eintrat, wenn diese dadurch nicht heimatlos wurden, d.h. wenn sie die Staatsangehörigkeit des Ehemannes bzw. Vaters erwarben oder erwerben konnten ( BGE 83 I 59 ; dieser Entscheid wurde in Anwendung des Art. 5 des BRB vom 11. November 1941 über Änderung der Vorschriften über Erwerb und Verlust des Schweizerbürgerrechts gefällt, stellt aber ausdrücklich fest, dass damit nur die schon vorher gültige Ordnung sanktioniert wurde).</w:t>
      </w:r>
    </w:p>
    <w:p>
      <w:r>
        <w:rPr>
          <w:b/>
        </w:rPr>
        <w:t>E. 3</w:t>
      </w:r>
    </w:p>
    <w:p>
      <w:r>
        <w:t>Es steht fest, dass der Beschwerdeführer am 25. November 1932 von der Schweizerbürgerin Marie Egger ausserehelich geboren wurde und in diesem Zeitpunkt weder von seinem Vater anerkannt noch diesem mit Standesfolge zugesprochen war. Er erwarb deshalb - was unbestritten ist - mit der Geburt des Schweizerbürgerrecht. Es steht jedoch ebenfalls fest, dass er schon zehn Tage später von seinem Vater anerkannt wurde. Dass er durch diese Anerkennung nicht nur den Familiennamen, sondern auch die Staatsangehörigkeit des Vaters erhielt, ergibt sich aus dem Décret Beylical vom 8. November 1921 (wird näher ausgeführt). Mit dem Erwerb der tunesischen Staatsangehörigkeit infolge der Anerkennung durch den Vater verlor der Beschwerdeführer automatisch das bis dahin besessene Schweizerbürgerrecht, das er ja nur erhalten hatte, weil er sonst heimatlos geworden wäre. Art. 5 Abs. 4 des BRB vom 11. November 1941 schrieb den Verlust des Schweizerbürgerrechts ausdrücklich vor für das eheliche Kind einer Schweizerin, welches dasselbe aus dem gleichen Grunde BGE 90 I 128 S. 132 mit der Geburt erhalten hatte - und zwar nicht nur für den Fall des Erwerbs der Staatsangehörigkeit des Vaters, sondern sogar irgend einer ausländischen Staatsangehörigkeit; auch damit bestätigte die Bestimmung lediglich die schon vorher gültige Ordnung, mindestens soweit es sich um die Staatsangehörigkeit des Vaters handelte. Das Gleiche muss auch gelten für den Fall der Anerkennung eines ausserehelichen Kindes, wodurch dieses die Staatsangehörigkeit des Vaters erwarb. Haben doch auch im innerschweizerischen Verhältnis die Anerkennung und die Zusprechung mit Standesfolge diese Wirkung. Zwar sagt Art. 325 Abs. 1 ZGB nur, das Kind erhalte die Heimatangehörigkeit des Vaters; doch gilt als selbstverständlich, dass es damit zugleich das mit der Geburt erworbene Bürgerrecht der Mutter verliert (Kommentare EGGER, N. 7, und SILBERNAGEL, N. 12 zu Art. 325 ZGB ). EGGER stellt diese Folge ausdrücklich auch für das internationale Verhältnis fest, unter Vorbehalt des - hier nicht gegebenen - Falles, dass das Kind durch den Verlust des mütterlichen Bürgerrechts heimatlos würde. Der Beschwerdeführer hat somit das Schweizerbürgerrecht nur während der zehn Tage von seiner Geburt bis zu seiner Anerkennung durch den Vater besessen. Selbst wenn angenommen würde, die Anerkennung habe dessen Verlust nicht bewirkt, so hätte doch die nachfolgende Legitimation des Beschwerdeführers durch die Eheschliessung zwischen seinen Eltern diese Folge gehabt, weil er dadurch zu einem ehelichen Kinde wurde und die auf solche bezüglichen Regeln auf ihn anwendbar waren. (Für diesen Fall sieht sogar das weniger strenge Bürgerrechtsgesetz vom 29. September 1952 in Art. 8 Abs. 1 den Verlust ausdrücklich vor, sofern das Kind die Staatsangehörigkeit des Vaters erwirbt oder bereits besitzt, ohne Rücksicht darauf, ob auch die Mutter dieselbe durch die Heirat erlangt.) Nach schweizerischem Recht folgen die ehelichen Kinder, wenn die Einheit des Bürgerrechts der Familie wegen Verschiedenheit der Staatsangehörigkeit der Eltern nicht verwirklicht werden kann, dem Bürgerrecht des Vaters; nur BGE 90 I 128 S. 133 wenn sie das nach dessen ausländischem Heimatrecht nicht können und deshalb sonst heimatlos würden, erwerben bzw. behalten sie das Schweizerbürgerrecht der Mutter.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