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94</w:t>
      </w:r>
    </w:p>
    <w:p>
      <w:r>
        <w:t>Bundesgericht (BGE), 1964-01-01, DE</w:t>
      </w:r>
    </w:p>
    <w:p>
      <w:r>
        <w:rPr>
          <w:b/>
        </w:rPr>
        <w:t xml:space="preserve">Quelle: </w:t>
      </w:r>
      <w:r>
        <w:t>https://mcp.opencaselaw.ch/entscheid/bge_BGE_90_IV_94</w:t>
      </w:r>
    </w:p>
    <w:p>
      <w:r>
        <w:t>FR: ATF 90 IV 94</w:t>
      </w:r>
    </w:p>
    <w:p>
      <w:r>
        <w:t>IT: DTF 90 IV 94</w:t>
      </w:r>
    </w:p>
    <w:p>
      <w:pPr>
        <w:pStyle w:val="Heading2"/>
      </w:pPr>
      <w:r>
        <w:t>Regeste</w:t>
      </w:r>
    </w:p>
    <w:p>
      <w:r>
        <w:t>Regeste Art. 91 Abs. 3 SVG; Anordnung der Blutprobe. 1. Diese Bestimmung setzt für den Fall, dass der Täter die Feststellung seiner Angetrunkenheit vereitelt, nicht voraus, dass die Blutprobe oder die zusätzliche ärztliche Untersuchung bereits amtlich angeordnet worden sei. 2. Der angetrunkene Fahrer, der nach einem Unfall die Flucht ergreift, weil er eine Blutprobe befürchtet, macht sich nicht nur nach Art. 92, sondern auch nach Art. 91 Abs. 3 SVG strafbar.</w:t>
      </w:r>
    </w:p>
    <w:p>
      <w:r>
        <w:t>Regeste Art. 91 al. 3 LCR; ordonnance d'expertise du sang. 1. Lorsqu'il s'agit du cas où l'auteur a fait échouer la constatation de son ébriété, cette disposition ne suppose pas que l'analyse du sang ou l'examen médical complémentaire aient déjà été ordonnés par l'autorité. 2. Le conducteur pris de boisson, qui prend la fuite après un accident parce qu'il craint une prise de sang, est punissable en vertu non seulement de l'art. 92 mais encore de l'art. 91 al. 3 LCR.</w:t>
      </w:r>
    </w:p>
    <w:p>
      <w:r>
        <w:t>Regesto Art. 91 cpv. 3 LCStr; decretori prova del sangue. 1. Nel caso in cui l'autore abbia reso vano l'accertamento della sua ebrietà, questo disposto non presuppone che l'analisi del sangue o l'esame sanitario completivo siano già stati ordinati dall'autorità. 2. Il conducente ebbro, che si è dato alla fuga dopo un infortunio temendo una presa del sangue, è punibile non solo in virtù dell'art. 92 ma anche dell'art. 91 cpv. 3 LCStr.</w:t>
      </w:r>
    </w:p>
    <w:p>
      <w:pPr>
        <w:pStyle w:val="Heading2"/>
      </w:pPr>
      <w:r>
        <w:t>Erwägungen</w:t>
      </w:r>
    </w:p>
    <w:p>
      <w:r>
        <w:rPr>
          <w:b/>
        </w:rPr>
        <w:t>E. 1</w:t>
      </w:r>
    </w:p>
    <w:p>
      <w:r>
        <w:t>Nach ihrem Wortlaut scheint sich die Bestimmung nur auf Blutproben und zusätzliche ärztliche Untersuchungen zu beziehen, die bereits amtlich angeordnet worden sind ("ordonnés par l'autorité", "ordinati dall'autorità"). Eine solche Auslegung würde dem wahren Sinn der Norm jedoch nicht gerecht und kann deshalb nicht massgebend sein (vgl. BGE 87 IV 118 Erw. b und dort angeführte Lehre und Rechtsprechung). Art. 91 Abs. 3 SVG beruht auf der Überlegung, dass namentlich Fahrzeugführer, bei denen Anzeichen von Angetrunkenheit vorliegen, geeigneten Untersuchungen zu unterziehen sind ( Art. 55 Abs. 1 SVG ) und dass sie bestraft werden sollen, wenn sie sich solchen Untersuchungen widersetzen oder entziehen oder deren Zweck, d.h. die Feststellung, ob und allenfalls in welchem Grade sie angetrunken seien, vereiteln. Diese Feststellung kann ein Fahrer unter Umständen schon verunmöglichen, bevor die Polizei sich überhaupt darüber Rechenschaft geben kann, ob eine Blutprobe anzuordnen sei. Das trifft z.B. zu, wenn er noch vor Eintreffen der Polizei weitern Alkohol zu sich nimmt oder wenn er, wie der Beschwerdeführer, nach dem Unfall flüchtet und erst am folgenden Tag aufgegriffen werden kann. Dass sich in solchen Fällen eine nachträgliche Anordnung der Blutprobe oft als zwecklos erweisen muss, ist dem Gesetzgeber nicht entgangen (vgl. Botschaft des Bundesrates zum Entwurf eines Bundesgesetzes über den Strassenverkehr vom 24. Juni 1955, BBl 1955 II S. 39 und 63). Die Zulässigkeit der Strafe kann folglich im Falle der Vereitelung nicht davon abhängig gemacht werden, dass die Massnahme bereits amtlich angeordnet worden sei. Die gegenteilige Auffassung wäre mit dem Bestreben des Gesetzes, den Führer, der die Feststellung der Angetrunkenheit verunmöglicht, gleich zu bestrafen wie denjenigen, der des Fahrens in angetrunkenem Zustande überführt ist, nicht vereinbar. Dass blosse Flucht nur in den vom Gesetz vorgesehenen Fällen bestraft werden darf, hilft dem Beschwerdeführer BGE 90 IV 94 S. 97 nicht. Art. 91 Abs. 3 SVG frägt nicht danach, mit welchen Mitteln der Täter den Zweck der Massnahmen vereitelt. Die Bestimmung verlangt auch nicht, dass er besondere Vorkehren treffen müsse, wie der Beschwerdeführer anzunehmen scheint. Es genügt, dass dem Täter ein Verhalten zur Last gelegt werden muss, das auf Vereitelung des Nachweises angelegt ist, in angetrunkenem Zustande ein Fahrzeug geführt zu haben. Der angetrunkene Fahrer, der nach einem Unfall die Flucht ergreift und sich, wie der Beschwerdeführer, dem Zugriff der Polizei solange entzieht, bis die Angetrunkenheit abgeklungen und damit nicht mehr feststellbar ist, macht sich deshalb nicht nur nach Art. 92, sondern auch nach Art. 91 Abs. 3 SVG strafbar.</w:t>
      </w:r>
    </w:p>
    <w:p>
      <w:r>
        <w:rPr>
          <w:b/>
        </w:rPr>
        <w:t>E. 2</w:t>
      </w:r>
    </w:p>
    <w:p>
      <w:r>
        <w:t>Der Beschwerdeführer war nach dem angefochtenen Urteil angetrunken, als er sich am 17. Februar 1963 gegen Mitternacht in Zürich ans Steuer seines Personenwagens setzte und stadtauswärts fuhr. Das Obergericht stellt zudem in eingehender Würdigung des Beweises fest, dass Oes nach dem Zusammenstoss weiterfuhr, weil er eine Blutprobe befürchtete. Diese Feststellungen sind tatsächlicher Natur und binden deshalb den Kassationshof. Sie können nur dahin verstanden werden, dass Oes mit der Massnahme rechnete und sich ihr für den Fall, dass sie angeordnet würde, entziehen wollte. Er hat deshalb zumindest eventualvorsätzlich gehandelt und somit den Tatbestand der Vereitelung im Sinne von Art. 91 Abs. 3 SVG auch subjektiv erfüllt.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