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IV 83</w:t>
      </w:r>
    </w:p>
    <w:p>
      <w:r>
        <w:t>Bundesgericht (BGE), 1960-11-15, FR</w:t>
      </w:r>
    </w:p>
    <w:p>
      <w:r>
        <w:rPr>
          <w:b/>
        </w:rPr>
        <w:t xml:space="preserve">Quelle: </w:t>
      </w:r>
      <w:r>
        <w:t>https://mcp.opencaselaw.ch/entscheid/bge_BGE_90_IV_83</w:t>
      </w:r>
    </w:p>
    <w:p>
      <w:r>
        <w:t>FR: ATF 90 IV 83</w:t>
      </w:r>
    </w:p>
    <w:p>
      <w:r>
        <w:t>IT: DTF 90 IV 83</w:t>
      </w:r>
    </w:p>
    <w:p>
      <w:pPr>
        <w:pStyle w:val="Heading2"/>
      </w:pPr>
      <w:r>
        <w:t>Regeste</w:t>
      </w:r>
    </w:p>
    <w:p>
      <w:r>
        <w:t>Regeste Art. 7 Abs. 1, 25 Abs. 1 lit. a, 91 Abs. 2 und 106 SVG; Art. 3 BRB vom 15. November 1960 über Motorfahrräder und Kleinmotorräder. 1. Die Motorfahrräder sind nicht den Motorfahrzeugen, sondern den Fahrrädern gleichzustellen (Erw. 1). 2. Wer in angetrunkenem Zustand ein Motorfahrrad führt, ist nach Art. 91 Abs. 2 SVG zu bestrafen (Erw. 2).</w:t>
      </w:r>
    </w:p>
    <w:p>
      <w:r>
        <w:t>Regeste Art. 7 al. 1, 25 al. 1 lit. a, 91 al. 2 et 106 LCR; art. 3 de l'ACF du 15 novembre 1960 sur les cyclomoteurs et les motocycles légers. 1. Les cyclomoteurs ne doivent pas être considérés comme des véhicules à moteur, mais sont assimilables aux cycles. (Consid. 1). 2. Celui qui, en état d'ébriété, conduit un cyclomoteur, tombe sous le coup de l'art. 91 al. 2 LCR. (Consid. 2).</w:t>
      </w:r>
    </w:p>
    <w:p>
      <w:r>
        <w:t>Regesto Art. 7 cpv. 1, 25 cpv. 1 lett. a, 91 cpv. 2 e 106 LCStr; art. 3 DCF 15 novembre 1960 concernente i ciclomotori e le motoleggere. 1. I ciclomotori non devono essere considerati veicoli a motore, ma sono parificabili ai velocipedi. (Consid. 1). 2. Chiunque, in stato di ebrietà, conduce un ciclomotore, dev'essere punito giusta l'art. 91 cpv. 2 LCStr. (Consid. 2).</w:t>
      </w:r>
    </w:p>
    <w:p>
      <w:pPr>
        <w:pStyle w:val="Heading2"/>
      </w:pPr>
      <w:r>
        <w:t>Erwägungen</w:t>
      </w:r>
    </w:p>
    <w:p>
      <w:r>
        <w:rPr>
          <w:b/>
        </w:rPr>
        <w:t>E. 1</w:t>
      </w:r>
    </w:p>
    <w:p>
      <w:r>
        <w:t>- L'art. 7 al. 1 LCR répute véhicule automobile tout véhicule pourvu d'un propre dispositif de propulsion lui permettant de circuler sur terre sans devoir suivre une voie ferrée. Il est clair que tout cycle pourvu d'un moteur auxiliaire répond à cette définition. Cependant, selon l'art. 25 al. 1 lit. a, le Conseil fédéral peut soustraire cette espèce de véhicules à l'application des règles du IIe titre de la loi sur la circulation routière, titre qui comprend l'art. 7 précité. Il peut par conséquent exclure les cycles à moteur auxiliaire de la catégorie des véhicules automobiles pour les assimiler à une autre catégorie, par exemple aux cycles. C'est ce qu'il a fait par son arrêté du 15 novembre 1960 sur les cyclomoteurs et les motocycles légers. Après y avoir défini les cycles à moteur auxiliaire (sous la dénomination de cyclomoteurs, art. 1 et 2), il a prescrit (art. 3) que, sauf dispositions contraires dudit arrêté, cette catégorie de véhicules tombe sous le coup des prescriptions relatives BGE 90 IV 83 S. 85 aux cycles, sous réserve, toutefois, de celles qui visent à atténuer le bruit causé par les véhicules automobiles. Cela signifie nécessairement, vu la portée tout à fait générale de cette règle, qui ne se limite pas aux dispositions du IIe titre de la loi sur la circulation routière, que les cyclomoteurs ne doivent pas être considérés comme des véhicules automobiles selon l'art. 7 al. 1 LCR, mais sont assimilés aux cycles. Le Conseil fédéral pouvait, comme on l'a montré, établir une telle règle en se fondant sur l'art. 25 al. 1 lit. a LCR et il lui était loisible de le faire dès avant l'entrée en vigueur de cette loi, vu l'art. 106 LCR. Il se réfère du reste aux deux dispositions précitées dans le préambule de son arrêté. Sans doute, depuis la promulgation de celui-ci, la loi sur la circulation routière et ses ordonnances d'exécution sontelles entrées en vigueur. Mais elles ne contiennent aucune disposition remplaçant ou abrogeant l'art. 3 al. 1 de l'arrêté du 15 novembre 1960 et l'on ne voit point d'autre règle qui puisse en exclure l'application. Aussi bien, dans sa circulaire du 17 décembre 1962 (cf. art. 99 al. 4, dernière phrase OCR), le Département fédéral de justice et police indique (sous le no 34) comme restant en vigueur en général l'arrêté sur les cyclomoteurs; les réserves dont il assortit cette opinion ne concernent pas l'art. 3 al. 1 précité.</w:t>
      </w:r>
    </w:p>
    <w:p>
      <w:r>
        <w:rPr>
          <w:b/>
        </w:rPr>
        <w:t>E. 2</w:t>
      </w:r>
    </w:p>
    <w:p>
      <w:r>
        <w:t>- Les cyclomoteurs, par exception, n'étant pas des véhicules automobiles, celui qui, pris de boisson, conduit un de ces engins tombe sous le coup, non pas du premier, mais du deuxième alinéa de l'art. 91 LCR, contrairement à ce qu'a admis l'autorité cantonale. Il n'est donc punissable en plus de l'amende, que des arrêts et non de l'emprisonnement. L'art. 9 ch. 3 de l'ACF du 15 novembre 1960 impose la même solution. Selon la circulaire précitée, cette disposition en particulier serait encore en vigueur aujourd'hui, comme l'art. 3 al. 1 précité. Vu les motifs exposés ci-dessus et l'entrée en vigueur de l'art. 91 LCR, il n'est pas certain qu'il en soit ainsi, tout au moins pour le cas du conducteur BGE 90 IV 83 S. 86 pris de boisson. La question, cependant, peut demeurer indécise, puisque le résultat reste le même, en l'espèce, quelle que soit la réponse qu'elle appelle.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