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4</w:t>
      </w:r>
    </w:p>
    <w:p>
      <w:r>
        <w:t>Bundesgericht (BGE), 1964-01-01, DE</w:t>
      </w:r>
    </w:p>
    <w:p>
      <w:r>
        <w:rPr>
          <w:b/>
        </w:rPr>
        <w:t xml:space="preserve">Quelle: </w:t>
      </w:r>
      <w:r>
        <w:t>https://mcp.opencaselaw.ch/entscheid/bge_BGE_90_IV_4</w:t>
      </w:r>
    </w:p>
    <w:p>
      <w:r>
        <w:t>FR: ATF 90 IV 4</w:t>
      </w:r>
    </w:p>
    <w:p>
      <w:r>
        <w:t>IT: DTF 90 IV 4</w:t>
      </w:r>
    </w:p>
    <w:p>
      <w:pPr>
        <w:pStyle w:val="Heading2"/>
      </w:pPr>
      <w:r>
        <w:t>Regeste</w:t>
      </w:r>
    </w:p>
    <w:p>
      <w:r>
        <w:t>Regeste Art. 74 StGB. Die Verjährung einer Freiheitsstrafe, deren Vollzug gemäss Art. 43 StGB aufgeschoben wurde, beginnt mit der Rechtskraft des Urteils und steht während der Erziehung Liederlicher und Arbeitsscheuer nicht still.</w:t>
      </w:r>
    </w:p>
    <w:p>
      <w:r>
        <w:t>Regeste Art. 74 CP. La prescription d'une peine privative de liberté dont l'exécution a été suspendue selon l'art. 43 CP commence à courir le jour où le jugement passe en force et n'est pas suspenduependant que le condamné qui vivait dans l'inconduite ou la fainéantise est éduqué au travail.</w:t>
      </w:r>
    </w:p>
    <w:p>
      <w:r>
        <w:t>Regesto Art. 74 CP. La prescrizione di una pena privativa della libertà personale, la cui esecuzione è stata sospesa in virtù dell'art. 43 CP, comincia a decorrere dal giorno in cui la sentenza acquista forza di cosa giudicata e non è sospesa mentre il condannato, già dedito alla dissolutezza o all'ozio, è educato al lavoro.</w:t>
      </w:r>
    </w:p>
    <w:p>
      <w:pPr>
        <w:pStyle w:val="Heading2"/>
      </w:pPr>
      <w:r>
        <w:t>Erwägungen</w:t>
      </w:r>
    </w:p>
    <w:p>
      <w:r>
        <w:rPr>
          <w:b/>
        </w:rPr>
        <w:t>E. 1</w:t>
      </w:r>
    </w:p>
    <w:p>
      <w:r>
        <w:t>Gefängnisstrafen von weniger als einem Jahr verjähren gemäss Art. 73 Ziff. 1 StGB in fünf Jahren. Die Verjährung beginnt nach Art. 74 StGB mit der Rechtskraft des Urteils, bzw. mit dessen Vollstreckbarkeit ( BGE 72 IV 106 ; BGE 78 IV 225 ). Von dieser Regelung ist der bedingte Strafaufschub ausgenommen, sofern er nachträglich widerrufen und die Vollstreckung der Strafe angeordnet wird; dann soll die Verjährung nach der ausdrücklichen Vorschrift des Art. 74 StGB mit dem Tage beginnen, an dem der Richter die Vollstreckung angeordnet hat. Eine weitere Ausnahme sieht das Gesetz nicht vor. Es enthält keine Bestimmung, wonach auch dann, wenn die Strafe in anderer Weise als gemäss Art. 41 Ziff. 1 StGB aufgeschoben worden ist, die Vollstreckungsverjährung nicht schon mit der Rechtskraft des Urteils, sondern erst mit der Anordnung des Strafvollzuges zu laufen beginnt. Dass das Gesetz eine Lücke enthielte, hat der Kassationshof bereits im Falle Ch. verneint, als er die Vollstreckungsverjährung bei Massnahmen nach Art. 14 und 15 StGB zu prüfen hatte (SJZ 1959 S. 129).</w:t>
      </w:r>
    </w:p>
    <w:p>
      <w:r>
        <w:rPr>
          <w:b/>
        </w:rPr>
        <w:t>E. 2</w:t>
      </w:r>
    </w:p>
    <w:p>
      <w:r>
        <w:t>Nicht anders verhält es sich mit der Vollstreckungsverjährung bei der Einweisung in eine Arbeitserziehungsanstalt BGE 90 IV 4 S. 7 nach Art. 43 StGB . Zwar führt die Staatsanwaltschaft richtig aus, dass beim vermindert Zurechnungsfähigen die Dauer der Massnahme seinem Willen weitgehend entzogen ist. Es trifft auch zu, dass er nur beschränkt mitbestimmen kann, ob nach Aufhebung der Massnahme die Strafe noch zu vollziehen sei; ebenso kann sich die Massnahme bei erfolgloser Pflege zeitlich unbestimmt ausdehnen. Aber auch der in die Arbeitserziehungsanstalt Eingewiesene kann die Dauer seines Aufenthaltes nur beschränkt beeinflussen. Er wird ebenfalls auf unbestimmte Zeit - wenn auch höchstens auf drei Jahre - in die Anstalt eingewiesen. Selbst wenn der Zögling "zur Arbeit tüchtig und willig" geworden ist, kann er erst, nachdem er zwei Drittel der Strafe verbüsst und sich mindestens ein Jahr wohlverhalten hat, bedingt entlassen werden ( Art. 43 Ziff. 5 StGB ). Er verliert unterdessen die Freiheit und ist weiteren Einschränkungen unterworfen. Er kann nur bei deren Hinnahme den Strafvollzug verhindern. Dass unter diesen Umständen die Vollstreckungsverjährung nicht laufen soll, ist nicht einzusehen. Nach Ansicht der Staatsanwaltschaft würde eine Vollstreckungsverjährung den Vollzug der Massnahme zusätzlich belasten; denn es würde meistens verunmöglicht, dem aus der Arbeitserziehungsanstalt bedingt Entlassenen anzudrohen, er habe bei Versagen die Strafe zu verbüssen. Das ist nicht belegt. Die Staatsanwaltschaft übersieht zudem, dass nach dem Willen des Gesetzgebers die Nacherziehung nicht beliebig fortzusetzen ist. Ergibt sich, dass der Zweck nicht erreicht, der Eingewiesene nicht zur Arbeit erzogen werden kann, ist die Strafe zu vollziehen ( Art. 43 Ziff. 4 StGB ). Der Aufenthalt in der Anstalt, der sogar die Dauer der Gefängnisstrafe (von weniger als einem Jahr) überschreiten kann, dürfte dies meistens schon zeigen. Dazu kommt, dass der Zögling sich während 1-3 Jahren nach der bedingten Entlassung zu bewähren hat und, wenn er sich nicht hält, in die Anstalt zurückversetzt wird. Ein Bedürfnis, überdies - entgegen der allgemeinen Regel - BGE 90 IV 4 S. 8 den Beginn der Verjährung auf das Ende des Vollzuges der Massnahmen hinauszuschieben, ist nicht ersichtlich.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