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236</w:t>
      </w:r>
    </w:p>
    <w:p>
      <w:r>
        <w:t>Bundesgericht (BGE), 1964-01-01, DE</w:t>
      </w:r>
    </w:p>
    <w:p>
      <w:r>
        <w:rPr>
          <w:b/>
        </w:rPr>
        <w:t xml:space="preserve">Quelle: </w:t>
      </w:r>
      <w:r>
        <w:t>https://mcp.opencaselaw.ch/entscheid/bge_BGE_90_IV_236</w:t>
      </w:r>
    </w:p>
    <w:p>
      <w:r>
        <w:t>FR: ATF 90 IV 236</w:t>
      </w:r>
    </w:p>
    <w:p>
      <w:r>
        <w:t>IT: DTF 90 IV 236</w:t>
      </w:r>
    </w:p>
    <w:p>
      <w:pPr>
        <w:pStyle w:val="Heading2"/>
      </w:pPr>
      <w:r>
        <w:t>Regeste</w:t>
      </w:r>
    </w:p>
    <w:p>
      <w:r>
        <w:t>Regeste Art. 349 StGB, Art. 96 Ziff. 3, 100 Ziff. 2 Abs. 1 SVG. Der Fahrzeugführer und der mitverantwortliche Halter, Arbeitgeber oder Vorgesetzte sind am Gerichtsstand des Art. 349 StGB zu verfolgen und zu beurteilen.</w:t>
      </w:r>
    </w:p>
    <w:p>
      <w:r>
        <w:t>Regeste Art. 349 CP, art. 96 ch. 3, 100 ch. 2 al. 1 LCR. Le conducteur, ainsi que le détenteur, l'employeur ou le chef qui répondent avec lui doivent être poursuivis et jugés au for que désigne l'art 349 CP.</w:t>
      </w:r>
    </w:p>
    <w:p>
      <w:r>
        <w:t>Regesto Art. 349 CP, art. 96 num. 3, 100 num. 2 cpv. 1 LCStr. Il conducente, così come il detentore, il datore di lavoro o il superiore, corresponsabili, devono essere perseguiti e giudicati al foro designato all'art. 349 CP.</w:t>
      </w:r>
    </w:p>
    <w:p>
      <w:pPr>
        <w:pStyle w:val="Heading2"/>
      </w:pPr>
      <w:r>
        <w:t>Erwägungen</w:t>
      </w:r>
    </w:p>
    <w:p>
      <w:r>
        <w:rPr>
          <w:b/>
        </w:rPr>
        <w:t>E. 1</w:t>
      </w:r>
    </w:p>
    <w:p>
      <w:r>
        <w:t>Auf die Einrede der abgeurteilten Sache kann sich Boss nicht berufen. Die Einstellungsverfügung des Statthalteramtes Luzern-Land ist weder eröffnet noch von der Staatsanwaltschaft des Kantons Luzern genehmigt, somit nicht rechtskräftig geworden (§ 133 luzern. StPO). Sie steht daher einer Strafverfolgung des Gesuchstellers im Kanton Aargau nicht entgegen.</w:t>
      </w:r>
    </w:p>
    <w:p>
      <w:r>
        <w:rPr>
          <w:b/>
        </w:rPr>
        <w:t>E. 2</w:t>
      </w:r>
    </w:p>
    <w:p>
      <w:r>
        <w:t>Die Behörden des Kantons Aargau gehen gestützt auf die Ergebnisse ihrer Untersuchung davon aus, Boss habe seinen Wagen, von dem er wusste, dass keine Haftpflichtversicherung bestand, dem Pfrunder auf dessen Ersuchen für die Fahrt von Ebikon nach Dietwil zur Verfügung gestellt. Indem er durch die Überlassung des Wagens seine Einwilligung zur Fahrt gab, hat er massgebend dazu beigetragen, dass Pfrunder die Widerhandlung gegen Art. 96 Ziff. 2 SVG vorsätzlich beging. Er erscheint daher als Mittäter, und als solcher wäre er gemäss Art. 349 Abs. 2 StGB zusammen mit Pfrunder im Kanton Aargau, wo die Untersuchung zuerst angehoben wurde, zu verfolgen und zu beurteilen. Dass das Strassenverkehrsgesetz den Fahrzeughalter, der von der Widerhandlung des Führers Kenntnis hatte oder bei pflichtgemässer Aufmerksamkeit haben konnte, nicht als Teilnehmer an der Tat des Fahrzeugführers, sondern nach Art. 96 Ziff. 3 SVG als Täter behandelt, schliesst die Anwendung des Art. 349 StGB nicht aus. Nach dieser Bestimmung sollen Straftaten, die so eng zusammenhangen wie jene des Täters, Anstifters, Gehilfen und Mittäters, im Interesse der Prozessökonomie und vor allem um zu verhindern, BGE 90 IV 236 S. 238 dass sie in tatsächlicher oder rechtlicher Hinsicht von mehreren Gerichten verschieden gewürdigt werden, am gleichen Ort verfolgt und beurteilt werden. Dies gilt, wie die Anklagekammer schon früher entschieden hat, auch dann, wenn das Gesetz für die Tat des Anstifters, Gehilfen oder Mittäters eine besondere Strafnorm aufstellt ( BGE 73 IV 204 ). Die Überlegungen, die dieser Rechtsprechung zugrundeliegen, treffen auch in den Fällen des Art. 96 Ziff. 3 SVG zu, ebenso in jenen des Art. 100 Ziff. 2 Abs. 1 SVG . Der Halter, Arbeitgeber oder Vorgesetzte, der sich im Sinne dieser Bestimmungen vergeht, wird wegen seiner Mitwirkung an der Widerhandlung des Fahrzeugführers, die er nicht verhindert oder veranlasst hat, strafrechtlich zur Verantwortung gezogen. Seine Beteiligung ist eine Art Mittäterschaft, weshalb er der gleichen Strafdrohung untersteht wie der Führer. Dieser enge Zusammenhang zwischen der Tat des einen und jener des andern begründet den Gerichtsstand des Art. 349 StGB (ebenso SCHULTZ, Strafbestimmungen des SVG, S. 59, 288).</w:t>
      </w:r>
    </w:p>
    <w:p>
      <w:r>
        <w:rPr>
          <w:b/>
        </w:rPr>
        <w:t>E. 3</w:t>
      </w:r>
    </w:p>
    <w:p>
      <w:r>
        <w:t>Vom gemeinsamen aargauischen Gerichtsstand abzuweichen, besteht kein Anlass. Für eine Teilung des Verfahrens fehlen triftige Gründe, zumal die Einstellungsverfügung des Statthalteramtes Luzern-Land nach Auffassung der luzernischen Staatsanwaltschaft neu überprüft werden müsste, und gegen eine Vereinigung des Verfahrens in der Hand der Luzerner Behörden spricht, dass diese gegen Pfrunder noch keine Strafuntersuchung angehoben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