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228</w:t>
      </w:r>
    </w:p>
    <w:p>
      <w:r>
        <w:t>Bundesgericht (BGE), 1964-01-01, DE</w:t>
      </w:r>
    </w:p>
    <w:p>
      <w:r>
        <w:rPr>
          <w:b/>
        </w:rPr>
        <w:t xml:space="preserve">Quelle: </w:t>
      </w:r>
      <w:r>
        <w:t>https://mcp.opencaselaw.ch/entscheid/bge_BGE_90_IV_228</w:t>
      </w:r>
    </w:p>
    <w:p>
      <w:r>
        <w:t>FR: ATF 90 IV 228</w:t>
      </w:r>
    </w:p>
    <w:p>
      <w:r>
        <w:t>IT: DTF 90 IV 228</w:t>
      </w:r>
    </w:p>
    <w:p>
      <w:pPr>
        <w:pStyle w:val="Heading2"/>
      </w:pPr>
      <w:r>
        <w:t>Regeste</w:t>
      </w:r>
    </w:p>
    <w:p>
      <w:r>
        <w:t>Regeste Art. 9 Abs. 1 VRV. Kreuzen. 1. Eine abgeschrankte Baustelle ist ein Hindernis im Sinne von Art. 9 Abs. 1 VRV. 2. Wenn der Raum wegen eines Hindernisses zum Kreuzen nicht genügt, hat der nicht vortrittsberechtigte Fahrer anzuhalten.</w:t>
      </w:r>
    </w:p>
    <w:p>
      <w:r>
        <w:t>Regeste Art. 9 al. 1 OCR. Croisement. 1. Un chantier muni de barrières constitue un obstacle au sens de l'art. 9 al. 1 OCR. 2. Lorsque, à cause d'un obstacle, l'espace est insuffisant pour que deux véhicules puissent se croiser, le conducteur non prioritaire doit s'arrêter.</w:t>
      </w:r>
    </w:p>
    <w:p>
      <w:r>
        <w:t>Regesto Art. 9 cpv. 1 OCStr. Incrocio. 1. Un cantiere contornato da barriere costituisce un ostacolo nel senso dell'art. 9 cpv. 1 OCStr. 2. Se, a causa di un ostacolo, lo spazio è insufficiente per eseguire l'incrocio, il conducente che non gode del diritto di precedenza deve fermarsi.</w:t>
      </w:r>
    </w:p>
    <w:p>
      <w:pPr>
        <w:pStyle w:val="Heading2"/>
      </w:pPr>
      <w:r>
        <w:t>Erwägungen</w:t>
      </w:r>
    </w:p>
    <w:p>
      <w:r>
        <w:rPr>
          <w:b/>
        </w:rPr>
        <w:t>E. 1</w:t>
      </w:r>
    </w:p>
    <w:p>
      <w:r>
        <w:t>Art. 9 VRV regelt das Vortrittsrecht in zwei ganz verschiedenen Fällen. Der erste Absatz ordnet das Kreuzen an Stellen, die durch ein Hindernis eingeengt sind, der zweite Absatz dagegen das Kreuzen auf schmalen Strassen. Der Absatz 1 setzt demnach eine Strasse mit einem örtlich begrenzten Hindernis voraus, der Absatz 2 eine an sich schmale Strasse. Die Auffassung, der Absatz 2 enthalte eine Sonderbestimmung zu Absatz 1, ist demzufolge unzutreffend. Der Einzelrichter hat festgestellt, dass die Albisstrasse in der fraglichen Biegung einen 20 bis 30 m langen Engpass aufwies, der auf eine abgeschrankte Baustelle zurückzuführen war. Diese Feststellung bindet den Kassationshof (Art. 277 bis Abs. 1 und 273 Abs. 1 lit. b BStP). Geht man hievon aus, so ist nicht zweifelhaft, dass die abgeschrankte Baustelle auf der Höhe des Hauses Albisstrasse Nr. 58 ein Hindernis gemäss Art. 9 Abs. 1 VRV bildete und die Albisstrasse in diesem begrenzten Bereich nicht zu einer schmalen Strasse im Sinne von Art. 9 Abs. 2 VRV machte.</w:t>
      </w:r>
    </w:p>
    <w:p>
      <w:r>
        <w:rPr>
          <w:b/>
        </w:rPr>
        <w:t>E. 2</w:t>
      </w:r>
    </w:p>
    <w:p>
      <w:r>
        <w:t>Nach Art. 9 Abs. 1 VRV steht der Vortritt dem Fahrzeugführer zu, dessen Strassenseite nicht eingeengt ist. Wenn der Raum wegen eines Hindernisses zum Kreuzen nicht genügt, hat der nicht vortrittsberechtigte Fahrer anzuhalten und zwar unabhängig von den sich begegnenden Fahrzeugtypen. Die Vorinstanz hat verbindlich festgestellt, dass die Abschrankungen auf der Fahrbahn des Lastenzuges angebracht waren. Spiller war somit gehalten, Henger den Vortritt einzuräumen. Es kann Henger auch nicht vorgeworfen werden, er habe versucht, seinen Vortritt zu erzwingen; denn er hielt seinen Wagen zu Beginn der Kurve an und wollte dem Lastenzug die Durchfahrt gewähren. Wenn es trotzdem zum Zusammenstoss kam, BGE 90 IV 228 S. 230 so ist nicht der vortrittsberechtigte Beschwerdeführer dafür verantwortlich. Dispositiv Demnach erkennt der Kassationshof: Die Nichtigkeitsbeschwerde wird gutgeheissen, das Urteil des Einzelrichters in Strafsachen des Bezirksgerichts Horgen vom 17. September 1964 aufgehoben und die Vorinstanz angewiesen, den Beschwerdeführer freizusprechen.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