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224</w:t>
      </w:r>
    </w:p>
    <w:p>
      <w:r>
        <w:t>Bundesgericht (BGE), 1964-01-01, FR</w:t>
      </w:r>
    </w:p>
    <w:p>
      <w:r>
        <w:rPr>
          <w:b/>
        </w:rPr>
        <w:t xml:space="preserve">Quelle: </w:t>
      </w:r>
      <w:r>
        <w:t>https://mcp.opencaselaw.ch/entscheid/bge_BGE_90_IV_224</w:t>
      </w:r>
    </w:p>
    <w:p>
      <w:r>
        <w:t>FR: ATF 90 IV 224</w:t>
      </w:r>
    </w:p>
    <w:p>
      <w:r>
        <w:t>IT: DTF 90 IV 224</w:t>
      </w:r>
    </w:p>
    <w:p>
      <w:pPr>
        <w:pStyle w:val="Heading2"/>
      </w:pPr>
      <w:r>
        <w:t>Regeste</w:t>
      </w:r>
    </w:p>
    <w:p>
      <w:r>
        <w:t>Regeste Art. 91 Abs. 1 SVG. 1. Ein Fahrer befindet sich in angetrunkenem Zustand, ohne dass er betrunken zu sein braucht, wenn er zufolge des genossenen Alkohols nicht mehr imstande ist, in jeder Lage, auch in einer aussergewöhnlichen, so zu reagieren, wie man es von einem nüchternen Führer erwarten darf. - Das gilt selbst dann, wenn sein Zustand keine Verletzung von Verkehrsvorschriften zur Folge hatte (Erw. 1). 2. Die Angetrunkenheit des Fahrers wird grundsätzlich und unabhängig von seiner Alkoholverträglichkeit stets vermutet, wenn sein Blut einen Alkoholgehalt von 0,8 Gewichtspromilleaufweist; in gewissen Fällen kann schon eine etwas geringere Alkoholkonzentration genügen (Erw. 2). 3. Anwendung dieser Grundsätze (Erw. 3).</w:t>
      </w:r>
    </w:p>
    <w:p>
      <w:r>
        <w:t>Regeste Art. 91 al. 1 LCR. 1. Un conducteur est pris de boisson, même sans être ivre, dès que sa consommation d'alcool le rend incapable de réagir dans toute situation, même exceptionnelle, comme on peut l'attendre d'un conducteur de sang-froid. - Peu importe que son état n'ait pas entraîné une violation des règles de la circulation (consid. 1). 2. Le conducteur est toujours présumé pris de boisson, en principe, indépendamment de son accoutumance à l'alcool, dès que son sang contient 0,8 g promille d'alcool; une concentration quelque peu inférieure peut provoquer l'incapacité dans certains cas (consid. 2). 3. Application de ces principes (consid. 3).</w:t>
      </w:r>
    </w:p>
    <w:p>
      <w:r>
        <w:t>Regesto Art. 91 cpv. 1 LCStr. 1. Un conducente è in stato di ebrietà, anche senza essere ebbro; è sufficiente che il consumo d'alcool lo renda incapace di comportarsi in qualsiasi situazione, anche eccezionale, come si può pretendere che si comporti un conducente sobrio. - Poco importa che il suo stato non abbia implicato una violazione delle norme della circolazione (consid. 1). 2. In principio, il conducente è sempre presunto in stato d'ebrietà indipendentemente dalla sua abitudine all'alcool, tosto che il suo sangue contenga 0,8 promille di alcool; in determinninati casi può bastare anche una concentrazione un poi inferiore (consid. 2). 3. Applicazione di questi principi (consid. 3).</w:t>
      </w:r>
    </w:p>
    <w:p>
      <w:pPr>
        <w:pStyle w:val="Heading2"/>
      </w:pPr>
      <w:r>
        <w:t>Erwägungen</w:t>
      </w:r>
    </w:p>
    <w:p>
      <w:r>
        <w:rPr>
          <w:b/>
        </w:rPr>
        <w:t>E. 1</w:t>
      </w:r>
    </w:p>
    <w:p>
      <w:r>
        <w:t>L'art. 91 al. 1 LCR punit celui qui, étant pris de boisson, aura conduit un véhicule à moteur. Comme le faisait déjà l'art. 59 LA, il vise non pas seulement l'ivresse proprement dite, mais aussi les états éthyliques moins prononcés, dès qu'ils rendent le sujet incapable de piloter un véhicule avec la sûreté requise, c'est-à-dire de réagir dans toute situation, même exceptionnelle, comme on peut l'attendre d'un conducteur de sang-froid. La loi, en revanche, n'exige pas que l'intoxication alcoolique ait entraîné une violation des règles de la circulation. Ainsi une personne prise de boisson au sens de l'art. 91 al. 1 LCR pourra, lorsqu'il ne se présente pas de difficultés spéciales, conduire un véhicule sans que son état se manifeste par son comportement sur la route (SCHULTZ, Die Strafbestimmungen des Bundesgesetzes über den Strassenverkehr, vom 19. Dezember 1958, p. 184; GRISEL, l'analyse du sang dans l'application des art. 59 al. 1 LA et 91 al. 1 LCR, Journal des Tribunaux, Droit pénal, 1958, p. 148). L'arrêt entrepris est donc entaché d'une erreur de droit dans la mesure où il justifie l'acquittement par le motif que la manière de conduire de Gillioz n'aurait pas été influencée par l'alcool.</w:t>
      </w:r>
    </w:p>
    <w:p>
      <w:r>
        <w:rPr>
          <w:b/>
        </w:rPr>
        <w:t>E. 2</w:t>
      </w:r>
    </w:p>
    <w:p>
      <w:r>
        <w:t>C'est résoudre une question de droit fédéral que de juger si, dans tel état éthylique donné, un conducteur est pris de boisson au sens de l'art. 91 al. 1 LCR. La cour de céans peut donc revoir ce point (art. 269 al. 1 PPF). Selon l'arrêt Ministère public du canton de Zurich contre Riess (RO 90 IV 159), le conducteur est toujours présumé "pris de boisson", en principe, indépendament de son accoutumance à l'alcool et même si d'autres circonstances ne manifestent pas son état, lorsque la teneur d'alcool dans le sang dépasse un certain degré. Précédemment la Cour de cassation pénale admettait que, pour fonder cette présomption, il fallait une concentration de 1 g promille environ. Dans l'arrêt précité, elle a abaissé cette limite à 0,8 promille sur BGE 90 IV 224 S. 227 le vu d'un rapport général d'expertise, élaboré par trois médecins, professeurs d'université, désignés par elle. Elle a dit en outre que, dans certains cas, un conducteur pouvait être pris de boisson même si son alcoolémie était quelque peu inférieure (0,5 à 0,8 g promille ), par exemple s'il est malade ou surmené.</w:t>
      </w:r>
    </w:p>
    <w:p>
      <w:r>
        <w:rPr>
          <w:b/>
        </w:rPr>
        <w:t>E. 3</w:t>
      </w:r>
    </w:p>
    <w:p>
      <w:r>
        <w:t>Gillioz a conduit son automobile alors que son sang contenait plus de 1,23 g promille d'alcool. Une interprétation correcte de la loi devait dès lors faire présumer qu'il était pris de boisson. De toute façon, non seulement la concentration établie par l'analyse dépassait largement la limite admissible en principe, même selon l'ancienne jurisprudence (1 g promille ), mais encore aucun indice ne permettait de supposer que l'inculpé eût pu être de sang-froid nonobstant le taux d'alcoolémie constaté. Peu importe, de ce point de vue, que les gendarmes qui ont contrôlé Gillioz n'aient pas remarqué, chez lui, de comportement anormal et que le médecin chargé de la prise de sang, après l'examen clinique prescrit dans le canton de Vaud, n'ait relevé qu'un léger nystagmus et ait déclaré douteux que le patient fût sous l'influence de l'alcool. Car il s'agit là, d'une part, d'observations tout à fait superficielles et, d'autre part, d'une recherche rapide de quelques symptômes seulement. Or on sait que nombre de conducteurs sont incapables, ayant bu, de conduire avec une sûreté suffisante, alors même que leur intoxication n'a rien de manifeste (RO 79 II 398; GRISEL, op.cit., p. 143 et 145). Gillioz devra donc être condamné en vertu de l'art. 91 al. 1 LCR. En se prononçant à nouveau dans ce sens, l'autorité cantonale examinera si l'art. 102 ch. 2 LCR, qu'invoque le recourant, est applicable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