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143</w:t>
      </w:r>
    </w:p>
    <w:p>
      <w:r>
        <w:t>Bundesgericht (BGE), 1964-01-01, FR</w:t>
      </w:r>
    </w:p>
    <w:p>
      <w:r>
        <w:rPr>
          <w:b/>
        </w:rPr>
        <w:t xml:space="preserve">Quelle: </w:t>
      </w:r>
      <w:r>
        <w:t>https://mcp.opencaselaw.ch/entscheid/bge_BGE_90_IV_143</w:t>
      </w:r>
    </w:p>
    <w:p>
      <w:r>
        <w:t>FR: ATF 90 IV 143</w:t>
      </w:r>
    </w:p>
    <w:p>
      <w:r>
        <w:t>IT: DTF 90 IV 143</w:t>
      </w:r>
    </w:p>
    <w:p>
      <w:pPr>
        <w:pStyle w:val="Heading2"/>
      </w:pPr>
      <w:r>
        <w:t>Regeste</w:t>
      </w:r>
    </w:p>
    <w:p>
      <w:r>
        <w:t>Regeste Art. 32 Abs. 1 und 31 Abs. 1 SVG. 1. Die Pflicht zur Anpassung der Geschwindigkeit an die Verhältnisse besteht auch, wenn diese ungesetzlich sind (freier Weidgang in den Freibergen). (Erw. 2). 2. Ist die Nichtbeherrschung des Fahrzeuges einzig auf die übersetzte Geschwindigkeit zurückzuführen, so ist nur Art. 32 Abs. 1 SVG anzuwenden, nicht auch Art. 31 Abs. 1 (Erw. 3).</w:t>
      </w:r>
    </w:p>
    <w:p>
      <w:r>
        <w:t>Regeste Art. 32 al. 1 et 31 al. 1 LCR. 1. Obligation d'adapter sa vitesse, même à un état de choses illégal (droit de parcours exercé dans les Franches-Montagnes). Consid.2. 2. Lorsque l'excès de vitesse a causé, seul, la perte de maîtrise du véhicule, l'art. 32 al. 1 s'applique à l'exclusion de l'art. 31 al. 1. Consid. 3.</w:t>
      </w:r>
    </w:p>
    <w:p>
      <w:r>
        <w:t>Regesto Art. 32 cpv. 1 e 31 cpv. 1 LCStr. 1. Obbligo di adattare la velocità, anche a uno stato di cose illegale (diritto di percorso esercitato nelle Franches-Montagnes). Consid. 2. 2. Qualora la perdita della padronanza del veicolo sia stata cagionata esclusivamente da eccesso di velocità, s'applica l'art. 32 cpv. 1 ad esclusione dell'art. 31 cpv. 1. Consid. 3.</w:t>
      </w:r>
    </w:p>
    <w:p>
      <w:pPr>
        <w:pStyle w:val="Heading2"/>
      </w:pPr>
      <w:r>
        <w:t>Erwägungen</w:t>
      </w:r>
    </w:p>
    <w:p>
      <w:r>
        <w:rPr>
          <w:b/>
        </w:rPr>
        <w:t>E. 1</w:t>
      </w:r>
    </w:p>
    <w:p>
      <w:r>
        <w:t>Sur une route, qui, comme celle où s'est produit l'accident, est large de 6 m, rectiligne, couverte d'un revêtement en bon état et sec, une vitesse de 70 à 80 km/h n'est en général pas excessive, même de nuit. La cour cantonale n'admet pas le contraire. Elle ne reproche pas non plus au recourant d'avoir manqué d'attention et d'avoir, de ce fait, dû freiner brutalement. Elle lui reproche BGE 90 IV 143 S. 145 en revanche de n'avoir pas suffisamment adapté sa vitesse au danger que créait, pour la circulation, l'exercice du droit de libre parcours, dont le recourant avait connaissance. Elle a en outre admis qu'il avait fréquemment passé à l'endroit où l'accident s'est produit et aurait dû savoir que là, précisément, il n'existait point de clôture et que les bêtes pouvaient librement accéder à la route.</w:t>
      </w:r>
    </w:p>
    <w:p>
      <w:r>
        <w:rPr>
          <w:b/>
        </w:rPr>
        <w:t>E. 2</w:t>
      </w:r>
    </w:p>
    <w:p>
      <w:r>
        <w:t>Le recourant critique ces motifs, argument pris de l'arrêt prononcé par le Tribunal fédéral (Ie Cour civile) dans la cause Déjardin contre Aubry (RO 85 II 243), relatif à un accident qui s'était produit sur la même route. Statuant sur la responsabilité civile du détenteur, le Tribunal fédéral a jugé que le droit de libre parcours devait le céder aux exigences de la circulation routière et qu'il fallait ou bien que le bétail fût gardé ou bien que des clôtures fussent installées, comme cela se fait ailleurs. La question, cependant, ne se pose pas de la même manière dans la présente espèce. Il est vrai que, dans les Franches-Montagnes, les exigences du trafic routier l'emportent sur le droit de libre parcours, lequel ne saurait s'exercer librement sur la chaussée des routes ouvertes à la circulation publique. Mais le caractère illégal de l'état de fait qui s'est maintenu en certains endroits ne libère pas l'usager de la route, qui - comme le recourant - connaît cet état, de l'obligation d'en tenir compte dans sa façon de circuler. Si l'art. 32 al. 1 LCR prescrit au conducteur de toujours adapter sa vitesse aux circonstances, il n'importe que les circonstances qui commandent une réduction de la vitesse créent un état conforme ou contraire au droit. Tout obstacle que le conducteur aperçoit ou auquel il doit s'attendre, vu les informations qu'il possède, doit l'inciter à y adapter sa vitesse. Dans l'arrêt précité, le Tribunal fédéral a admis que la seule connaissance du droit de libre parcours, tel qu'on l'exerce affectivement dans les Franches-Montagnes, ne saurait obliger les conducteurs, de façon toute générale, à réduire leur vitesse à moins de 40 km/h. La cour cantonale BGE 90 IV 143 S. 146 a reproché au recourant d'avoir circulé non pas à une telle vitesse, mais à une vitesse de 70 à 80 km/h, soit presque le double de celle que le Tribunal fédéral a jugée encore admissible, dans les circonstances données. En retenant cette charge, elle n'a pas fait une fausse application de l'art. 32 al. 1 LCR.</w:t>
      </w:r>
    </w:p>
    <w:p>
      <w:r>
        <w:rPr>
          <w:b/>
        </w:rPr>
        <w:t>E. 3</w:t>
      </w:r>
    </w:p>
    <w:p>
      <w:r>
        <w:t>L'autorité cantonale a en outre condamné Créchard pour infraction à l'art. 31 LCR, selon lequel le conducteur doit rester constamment maître de son véhicule, de façon à pouvoir se conformer aux devoirs de la prudence. Dans la mesure où le recourant, au cours du freinage, a perdu la maîtrise de son véhicule à cause de sa vitesse excessive, sa faute est entièrement saisie par l'infraction à l'art. 32 al. 1, retenue contre lui. L'art. 31 et en particulier son premier alinéa n'est applicable que lorsque le conducteur a violé son devoir de prudence autrement que par une vitesse excessive. Tel n'est pas le cas en l'espèce. Il est constant qu'à la vue de la vache, Créchard a réagi rapidement et d'une façon opportune. On ne sait pourquoi, après un freinage de 17 m, il a perdu la maîtrise de son véhicule. L'autorité cantonale n'a notamment pas constaté que cela serait dû à la violation d'un autre devoir que celui de circuler à une vitesse inférieure. Il n'y a donc aucun motif d'admettre une infraction à l'art. 31 LCR. Il n'est cependant pas nécessaire de renvoyer la cause à l'autorité cantonale pour nouvelle décision. Car il n'apparaît pas que la libération du chef d'infraction à l'art. 31 LCR l'inciterait à réduire la peine prononcée, c'est-à-dire que cette infraction ait joué un rôle sensible dans la mesure de la peine.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