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134</w:t>
      </w:r>
    </w:p>
    <w:p>
      <w:r>
        <w:t>Bundesgericht (BGE), 1964-01-01, DE</w:t>
      </w:r>
    </w:p>
    <w:p>
      <w:r>
        <w:rPr>
          <w:b/>
        </w:rPr>
        <w:t xml:space="preserve">Quelle: </w:t>
      </w:r>
      <w:r>
        <w:t>https://mcp.opencaselaw.ch/entscheid/bge_BGE_90_IV_134</w:t>
      </w:r>
    </w:p>
    <w:p>
      <w:r>
        <w:t>FR: ATF 90 IV 134</w:t>
      </w:r>
    </w:p>
    <w:p>
      <w:r>
        <w:t>IT: DTF 90 IV 134</w:t>
      </w:r>
    </w:p>
    <w:p>
      <w:pPr>
        <w:pStyle w:val="Heading2"/>
      </w:pPr>
      <w:r>
        <w:t>Regeste</w:t>
      </w:r>
    </w:p>
    <w:p>
      <w:r>
        <w:t>Regeste Art. 254 Abs. 1 StGB. Beiseitegeschafft oder entwendet im Sinne dieser Bestimmung ist eine Urkunde erst, wenn sie dem Berechtigten nicht mehr zugänglich ist.</w:t>
      </w:r>
    </w:p>
    <w:p>
      <w:r>
        <w:t>Regeste Art. 254 al. 1 CP. L'auteur ne fait disparaître ou ne soustrait (au sens de cette disposition) un document que si ce dernier n'est plus accessible à l'ayant droit.</w:t>
      </w:r>
    </w:p>
    <w:p>
      <w:r>
        <w:t>Regesto Art. 254 cpv. 1 CP. L'autore sopprime o sottrae (nel senso di questo disposto) un documento, soltanto se lo rende inaccessibile all'avente diritto.</w:t>
      </w:r>
    </w:p>
    <w:p>
      <w:pPr>
        <w:pStyle w:val="Heading2"/>
      </w:pPr>
      <w:r>
        <w:t>Erwägungen</w:t>
      </w:r>
    </w:p>
    <w:p>
      <w:r>
        <w:rPr>
          <w:b/>
        </w:rPr>
        <w:t>E. 1</w:t>
      </w:r>
    </w:p>
    <w:p>
      <w:r>
        <w:t>Wegen Urkundenunterdrückung macht sich strafbar, wer eine Urkunde, über die er nicht allein verfügen darf, beschädigt, vernichtet, beiseiteschafft oder entwendet, in der Absicht, jemanden am Vermögen oder an anderen Rechten zu schädigen oder sich oder einem andern einen unrechtmässigen Vorteil zu verschaffen ( Art. 254 Abs. 1 StGB ). Beiseitegeschafft ist eine Urkunde nicht schon jedesmal, wenn sie dem Berechtigten oder Mitberechtigten vorenthalten, sondern erst, wenn ihm der Gebrauch der Urkunde als Beweismittel verunmöglicht wird. Das muss schon daraus geschlossen werden, dass das Gesetz das Beiseiteschaffen dem Beschädigen und Vernichten der Urkunde gleichstellt, also voraussetzt, dass auch die Beiseiteschaffung für den Berechtigten die Wirkung der Unbenützbarkeit BGE 90 IV 134 S. 136 der Schrift als Beweismittel habe. Der gleiche Schluss ergibt sich aus der französischen Wendung "faire disparaître". Wer eine Sache, die er mit Wissen des Berechtigten besitzt, verschwinden lassen will, beschränkt sich nicht darauf, deren Herausgabe zu verweigern, sondern er verbringt sie an einen Ort, wo sie dem Berechtigten nicht mehr zugänglich ist (Urteile des Kassationshofes vom 9. Dezember 1955 i.S. Graubünden gegen Attenhofer und vom 19. Juni 1959 i.S. Käppeli gegen Zug). Etwas anderes folgt auch nicht aus dem italienischen Text, der für beiseiteschaffen (faire disparaître) den Ausdruck "sopprimere" verwendet. Unterdrücken hat einen engeren Sinn als vorenthalten oder entziehen. Unterdrückt ist eine Urkunde erst, wenn der Berechtigte ausserstande ist, von ihr als Beweismittel Gebrauch machen zu können, sei es, dass die Schrift ganz oder teilweise zerstört, sei es, dass sie dem Berechtigten unzugänglich gemacht wurde. Letzteres trifft aber nicht zu, wenn ihm ein Dritter bloss die Urkunde nicht herausgeben will. Der Berechtigte hat es in der Hand, die unrechtmässig verweigerte Herausgabe auf dem Rechtswege zu erzwingen. In solchen Fällen die Verletzung der Herausgabepflicht als Beiseiteschaffen nach Art. 254 StGB zu bestrafen, kann auch in Hinsicht auf die Strafdrohung, Zuchthaus oder Gefängnis, nicht dem Sinn des Gesetzes entsprechen. Der Beschwerdeführer hat demnach die ihm übergebenen Buchhaltungsbelege nicht beiseitegeschafft, denn er behielt sie weiterhin bei sich und weigerte sich bloss, sie der Berechtigten zurückzugeben. Da die Auftraggeberin wusste, wo sich die Urkunden befanden, hatte sie jederzeit die Möglichkeit, ihr Eigentum gerichtlich herauszuverlangen.</w:t>
      </w:r>
    </w:p>
    <w:p>
      <w:r>
        <w:rPr>
          <w:b/>
        </w:rPr>
        <w:t>E. 2</w:t>
      </w:r>
    </w:p>
    <w:p>
      <w:r>
        <w:t>Dem Beschwerdeführer kann auch nicht eine Entwendung im Sinne des Art. 254 StGB vorgeworfen werden. Den Auftrag zur Besorgung der Buchhaltung hatte er von der Firma Vogt AG persönlich erhalten, und es scheint, dass er ihn auch während der Zeit, da er das Treuhandbureau Fiscuna AG leitete, im eigenen, nicht im Namen BGE 90 IV 134 S. 137 dieser Firma ausgeführt hat. Die Buchungsbelege waren ihm also persönlich anvertraut, und er konnte infolgedessen, auch wenn er sie erst nach der Übergabe des Treuhandbureau dort abgeholt hat, an ihnen keine Entwendung begehen. Davon abgesehen war der Vogt AG bekannt, dass sich auch diese Urkunden im Gewahrsam des Beschwerdeführers befanden; nichts hinderte sie, sich mittels Klage ihren Besitz zu verschaffen. Die Urkunden wurden somit, selbst wenn sie vom Beschwerdeführer unrechtmässig an sich genommen worden sein sollten, der Berechtigten auf jeden Fall nicht unzugänglich gemacht.</w:t>
      </w:r>
    </w:p>
    <w:p>
      <w:r>
        <w:rPr>
          <w:b/>
        </w:rPr>
        <w:t>E. 3</w:t>
      </w:r>
    </w:p>
    <w:p>
      <w:r>
        <w:t>.....</w:t>
      </w:r>
    </w:p>
    <w:p>
      <w:r>
        <w:rPr>
          <w:b/>
        </w:rPr>
        <w:t>E. 4</w:t>
      </w:r>
    </w:p>
    <w:p>
      <w:r>
        <w:t>..... Dispositiv Demnach erkennt der Kassationshof: Die Nichtigkeitsbeschwerde wird dahin gutgeheissen, dass das Urteil des Obergerichts des Kantons Solothurn vom 6. Dezember 1963 aufgehoben und die Sache zur Freisprechung des Beschwerdeführers von der Anklage der Unterdrückung von Urkunden und zu neuer Beurteilung der Strafe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