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79</w:t>
      </w:r>
    </w:p>
    <w:p>
      <w:r>
        <w:t>Bundesgericht (BGE), 1964-01-01, FR</w:t>
      </w:r>
    </w:p>
    <w:p>
      <w:r>
        <w:rPr>
          <w:b/>
        </w:rPr>
        <w:t xml:space="preserve">Quelle: </w:t>
      </w:r>
      <w:r>
        <w:t>https://mcp.opencaselaw.ch/entscheid/bge_BGE_90_II_79</w:t>
      </w:r>
    </w:p>
    <w:p>
      <w:r>
        <w:t>FR: ATF 90 II 79</w:t>
      </w:r>
    </w:p>
    <w:p>
      <w:r>
        <w:t>IT: DTF 90 II 79</w:t>
      </w:r>
    </w:p>
    <w:p>
      <w:pPr>
        <w:pStyle w:val="Heading2"/>
      </w:pPr>
      <w:r>
        <w:t>Regeste</w:t>
      </w:r>
    </w:p>
    <w:p>
      <w:r>
        <w:t>Regeste 1. Genugtuung (Art. 47 OR). Erhöhung der Genugtuungssumme, die Kindern für den Verlust ihres Vaters infolge eines Verkehrsunfalles zugesprochen worden ist (Erw. 2). 2. Versorgerschaden (Art. 45 Abs. 3 OR). Das kantonale Urteil muss alle zur Festsetzung der Entschädigung erforderlichen Tatbestandselemente enthalten (Erw. 3).</w:t>
      </w:r>
    </w:p>
    <w:p>
      <w:r>
        <w:t>Regeste 1. Indemnité pour tort moral (art. 47 CO). Augmentation du montant alloué à des enfants qui ont perdu leur père dans un accident de circulation (consid. 2). 2. Indemnité pour perte de soutien (art. 45 al. 3 CO). Le jugement cantonal doit indiquer tous les éléments de fait nécessaires pour fixer l'indemnité (consid. 3).</w:t>
      </w:r>
    </w:p>
    <w:p>
      <w:r>
        <w:t>Regesto 1. Indennità per torto morale (art. 47 CO). Aumento della somma attribuita a figli che hanno perso il padre in un infortunio della circolazione (consid. 2). 2. Indennità per perdita di sostegno (art. 45 cpv. 3 CO). Nella sentenza cantonale devono essere indicati tutti gli elementi di fatto necessari alla determinazione dell'indennità (consid. 3).</w:t>
      </w:r>
    </w:p>
    <w:p>
      <w:pPr>
        <w:pStyle w:val="Heading2"/>
      </w:pPr>
      <w:r>
        <w:t>Erwägungen</w:t>
      </w:r>
    </w:p>
    <w:p>
      <w:r>
        <w:rPr>
          <w:b/>
        </w:rPr>
        <w:t>E. 1</w:t>
      </w:r>
    </w:p>
    <w:p>
      <w:r>
        <w:t>...</w:t>
      </w:r>
    </w:p>
    <w:p>
      <w:r>
        <w:rPr>
          <w:b/>
        </w:rPr>
        <w:t>E. 2</w:t>
      </w:r>
    </w:p>
    <w:p>
      <w:r>
        <w:t>Les recourants ne critiquent pas le montant de l'indemnité pour tort moral attribuée à la veuve, par 12 000 fr. En revanche, ils requièrent une augmentation substantielle des montants alloués de ce chef aux enfants du défunt. Selon l'art. 47 CO, auquel renvoie l'art. 62 al. 1 LCR, le juge peut, en cas de circonstances particulières, accorder à la famille, en cas de mort d'homme, une indemnité équitable à titre de réparation du tort moral. Assurément, la fixation de l'indemnité relève essentiellement de l'appréciation. Par sa nature même, le dommage à réparer ne se réduit que difficilement à une simple somme d'argent. Son évaluation en chiffres ne dépassera donc pas certaines limites. Il importe néanmoins que la réparation soit conforme à l'équité. Son montant sera donc fixé en proportion de la gravité de l'atteinte subie par le demandeur. Il ne doit pas apparaître dérisoire. Cela implique, notamment, BGE 90 II 79 S. 83 que le juge tienne compte de la dépréciation de la monnaie (RO 89 II 25/6). Le chiffre arrêté par la Cour civile vaudoise - 3000 fr. par enfant - est insuffisant au regard de ces principes. Le nombre des enfants ne saurait justifier une sorte de réparation globale dont chacun d'eux ne recevrait qu'une part. Le décès subit de leur père a été pour eux un deuil d'autant plus cruel qu'ils sont déjà orphelins de mère. L'atteinte à la vie affective et familiale est particulièrement sensible en l'espèce. La famille était très unie, selon les constatations du jugement attaqué. Que plusieurs enfants fussent encore jeunes le jour de l'accident, cela ne les empêchait pas de ressentir douloureusement la disparition soudaine de leur père. Sans doute les cadets ne réaliseront-ils que peu à peu, à la différence des aînés, l'importance de la perte ainsi subie par la famille. Il n'en reste pas moins qu'étant de condition modeste, tous les enfants se heurteront durant leur adolescence. c'est-à-dire pendant un temps plus ou moins long selon leur âge actuel, à des difficultés matérielles accrues, qui se joindront à leurs soucis moraux. Surtout, le défunt n'a commis aucune faute, tandis que l'auteur de l'accident est gravement fautif. Si l'on tient compte de toutes ces circonstances, une indemnité de 5000 fr. à chacun des sept enfants apparaît équitable. Le jugement entrepris sera donc réformé dans ce sens.</w:t>
      </w:r>
    </w:p>
    <w:p>
      <w:r>
        <w:rPr>
          <w:b/>
        </w:rPr>
        <w:t>E. 3</w:t>
      </w:r>
    </w:p>
    <w:p>
      <w:r>
        <w:t>Pour ce qui concerne la perte de soutien, la Cour civile vaudoise s'est contentée d'allouer à la veuve une indemnité de 4000 fr., fixée par appréciation et comprenant les montants, jugés minimes, que les enfants seraient fondés à obtenir de ce chef. Elle a estimé qu'après déduction des prestations de la Caisse nationale, "il est encore dû 1000 à 3000 fr. à la mère et 800 à 1300 fr. à répartir entre quelques-uns des enfants, les autres ayant déjà touché plus que leur dû". Elle n'indique pas clairement sur quelles bases repose son calcul, d'ailleurs approximatif. D'après la jurisprudence, les éléments de la perte de BGE 90 II 79 S. 84 soutien doivent être appréciés dans chaque cas particulier. Il s'agit notamment de l'âge de la victime et des personnes qu'elle aurait assistées, de son gain futur, de la part qu'elle en aurait soustraite pour assurer le soutien des bénéficiaires, dans la mesure où ceux-ci auraient eu besoin de son aide. Tous ces éléments relèvent essentiellement de la question de fait. Le Tribunal fédéral, saisi d'un recours en réforme, ne revoit donc la décision attaquée à cet égard que si les juges cantonaux se sont fondés, pour estimer le cours futur prévisible des choses, sur des prémisses erronées en droit ou s'ils se sont laissés guider par des considérations qu'ils ne justifient pas en l'espèce et qui sont en contradiction avec l'expérience générale de la vie (RO 72 II 166/7; 196/7; 79 II 355 ; 81 II 42 ; 89 II 398 ). Les faits passés et présents, en revanche, sont pour lui constants, sous réserve d'une inadvertance manifeste (art. 63 al. 2 OJ). Lorsque la victime était assurée à la Caisse nationale, celle-ci est subrogée, pour le montant de ses prestations, aux droits de l'assuré contre tout tiers responsable de l'accident (art. 100 LAMA). Dans cette mesure, les recourants ne peuvent donc réclamer la réparation de leur préjudice à l'intimé, qui en est civilement responsable. Pour que ces règles soient applicables, il suffit que les prestations servies aux lésés par la Caisse nationale couvrent des dommages de la même espèce, sans qu'ils coïncident nécessairement (RO 85 II 258, 88 II 112/113). La perte de soutien devait donc être calculée, en l'espèce, sur la base du gain total de la victime, puis capitalisée selon le mode usuel. Du capital ainsi obtenu, il aurait fallu déduire la rente capitalisée de la Caisse nationale, afin d'arrêter le montant de l'indemnité revenant à chacun des recourants. Tous ces calculs devaient être faits au jour de l'accident (RO 84 II 300). La Cour cantonale a renoncé à capitaliser des rentes sur trois têtes et plus; elle a fixé l'indemnité par une simple estimation. Elle a fondé son opinion sur une remarque de BGE 90 II 79 S. 85 STAUFFER/SCHAETZLE (Barwerttafeln, 2e éd., p. 21 ch. 5). Mais ces auteurs, s'ils envisagent bien une estimation, laissent entendre qu'elle doit reposer sur des bases sûres; ils citent en effet la méthode utilisée par la Caisse nationale, qui alloue des rentes temporaires, aussi longtemps qu'une réduction doit être opérée, puis des rentes différées sur une ou deux têtes. Le jugement attaqué donne les indications de fait nécessaires au sujet de l'âge des personnes en cause, du gain futur du défunt et de la durée du soutien. En revanche, il présente des lacunes en ce qui concerne la quote-part du soutien revenant, pour chaque période à considérer, à la veuve et à chacun des enfants. On sait seulement qu'ils auraient été assistés, la première, jusqu'à la fin de ses jours, les seconds, jusqu'à leur majorité. Mais on ne voit pas dans quelle mesure la cessation progressive du soutien de l'un des enfants aurait accru la part des autres, voire celle de la veuve. De plus, le jugement ne fournit pas les renseignements nécessaires sur les prestations de la Caisse nationale. Seuls le gain assuré et la valeur capitalisée des rentes sont indiqués. On ignore cependant comment la capitalisation a été opérée. Les lacunes relevées ne permettent pas au Tribunal fédéral de vérifier l'application du droit, ni partant de réformer la décision cantonale dans la mesure où elle apparaîtrait erronée. La cause doit dès lors être renvoyée à la Cour civile vaudoise pour qu'elle complète ses constatations de fait et rende un nouveau jugement, dans le sens des motifs exposés ci-dessus, concernant l'indemnité pour perte de soutien (art. 64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