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483</w:t>
      </w:r>
    </w:p>
    <w:p>
      <w:r>
        <w:t>Bundesgericht (BGE), 1964-01-01, FR</w:t>
      </w:r>
    </w:p>
    <w:p>
      <w:r>
        <w:rPr>
          <w:b/>
        </w:rPr>
        <w:t xml:space="preserve">Quelle: </w:t>
      </w:r>
      <w:r>
        <w:t>https://mcp.opencaselaw.ch/entscheid/bge_BGE_90_II_483</w:t>
      </w:r>
    </w:p>
    <w:p>
      <w:r>
        <w:t>FR: ATF 90 II 483</w:t>
      </w:r>
    </w:p>
    <w:p>
      <w:r>
        <w:t>IT: DTF 90 II 483</w:t>
      </w:r>
    </w:p>
    <w:p>
      <w:pPr>
        <w:pStyle w:val="Heading2"/>
      </w:pPr>
      <w:r>
        <w:t>Regeste</w:t>
      </w:r>
    </w:p>
    <w:p>
      <w:r>
        <w:t>Regeste Dienstvertrag, Art. 319, 330, 333 Abs. 2 OR. Merkmale des Dienstvertrages (Erw. 1). Teilweise Entlöhnung auf Provisionsbasis. Tragweite der Vertragsbestimmung, dass dem Angestellten ein Provisionsanspruch zustehe "auf allen durchgeführten Verkäufen" (Erw. 2). Frage der Anwendbarkeit von Art. 333 Abs. 2 OR auf suspensiv bedingte Lohnforderungen (Erw. 2 d).</w:t>
      </w:r>
    </w:p>
    <w:p>
      <w:r>
        <w:t>Regeste Contrat de travail, art. 319, 330, 333 al. 2 CO. Eléments du contrat de travail (consid. 1). Rémunération partielle par provision. Portée de la disposition contractuelle selon laquelle l'employé a droit à une provision "sur toutes les ventes réalisées" (consid. 2). Question de l'application de l'art. 333 al. 2 CO aux créances de salaire soumises à une condition suspensive (consid. 2 d).</w:t>
      </w:r>
    </w:p>
    <w:p>
      <w:r>
        <w:t>Regesto Contratto di lavoro, art. 319, 330, 333 cpv. 2 CO. Elementi del contratto di lavoro (consid. 1). Rimunerazione parziale mediante provvigione. Portata della disposizione contrattuale secondo cui l'impiegato ha diritto a una provvigione "su tutte le vendite effettuate" (consid. 2). Questione dell'applicazione dell'art. 333 cpv. 2 CO ai crediti per mercedi sottoposti a condizione sospensiva (consid. 2 d).</w:t>
      </w:r>
    </w:p>
    <w:p>
      <w:pPr>
        <w:pStyle w:val="Heading2"/>
      </w:pPr>
      <w:r>
        <w:t>Erwägungen</w:t>
      </w:r>
    </w:p>
    <w:p>
      <w:r>
        <w:rPr>
          <w:b/>
        </w:rPr>
        <w:t>E. 1</w:t>
      </w:r>
    </w:p>
    <w:p>
      <w:r>
        <w:t>La juridiction cantonale admet à juste titre que les parties étaient liées par un contrat de travail. En effet, selon l'art. 319 CO, l'élément essentiel de ce type de contrat BGE 90 II 483 S. 486 - abstraction faite du salaire - réside dans le temps pour lequel il est conclu. Celui qui promet ses services à autrui pour une durée déterminée ou indéterminée est un employé (RO 73 I 420). Or, en l'espèce, Gossweiler s'est précisément engagé pendant sept ans, sous réserve de prorogation, à réorganiser le secteur commercial de l'intimée et à rechercher de nouveaux débouchés. Au surplus, le rapport de subordination qui caractérise également le contrat de travail découlait du fait que Gossweiler exerçait son activité sous la surveillance de la société Veuve Henri Duvoisin &amp; Cie. Celui-ci avait ainsi sans conteste la qualité d'un employé.</w:t>
      </w:r>
    </w:p>
    <w:p>
      <w:r>
        <w:rPr>
          <w:b/>
        </w:rPr>
        <w:t>E. 2</w:t>
      </w:r>
    </w:p>
    <w:p>
      <w:r>
        <w:t>En plus d'un salaire fixe mensuel de 1000 fr., le recourant touchait, en vertu d'une clause contractuelle, une prime de 3% sur toutes les ventes réalisées. Une telle provision, usuelle pour les voyageurs de commerce et les agents, est aussi allouée conventionnellement à certains directeurs (cf. BECKER, art. 330 n.29 ss., OSER/SCHÖNENBERGER, art. 330 n.16 ss.; cf. également RO 81 II 145). Le présent litige porte uniquement sur l'interprétation de ladite clause, interprétation que le Tribunal fédéral peut revoir librement, conformément à l'art. 63 al. 3 OJ. En cas de rémunération par provision, il y a lieu de distinguer quatre éléments, savoir: l'objet de la provision, soit l'opération commerciale qui y donne droit; la naissance de la prétention, soit la date à partir de laquelle existe le droit à la provision; le calcul, soit la détermination du chiffre sur lequel s'établit la quotité de la provision et l'exigibilité, soit la date à laquelle la provision est payable. a) En l'occurrence, l'objet de la provision est constitué selon le contrat par "toutes les ventes réalisées". L'ambiguïté de ces termes réside dans le fait que l'on ignore s'ils visent les ventes conclues ou seulement celles qui ont abouti à un paiement. Cette question paraît avoir été résolue par l'accord du 15 février 1961 d'après lequel, en confirmation de la pratique suivie jusqu'alors, "la prime ... s'entend sur les encaissements BGE 90 II 483 S. 487 faits pendant le mois". L'autorité cantonale, dont le jugement est quelque peu équivoque sur ce point, semble déduire de cette clause complémentaire que la provision est due sur les encaissements. On ne saurait partager cette opinion que contredit l'interprétation concordante des parties, suivant lesquelles l'objet de la provision consiste dans les ventes conclues. Ainsi, dans son acte de recours, Jean Gossweiler déclare que "le droit à la prime prend en effet naissance au moment de la réalisation d'un contrat de vente, soit au moment de la conclusion du contrat de vente...". De son côté, l'intimée reconnaît dans sa réponse au recours que "la conclusion donnait naissance au droit à la prime, dont l'exigibilité était soumise à la condition suspensive de la réalisation, c'est-à-dire à la clôture définitive de l'affaire par le paiement du client". Même si le Tribunal fédéral n'est pas lié par les motifs qu'invoquent les parties (art. 63 al. 1 OJ), il n'y a cependant pas lieu de s'écarter en l'espèce de la manière de voir adoptée par toutes deux et qui doit révéler leur réelle et commune intention, seule décisive sur ce point (art. 18 CO). b) Si la provision est due sur les ventes conclues, la créance naît lors de la passation de chaque vente, conformément à l'avis des parties elles-mêmes (cf. par analogie art. 10 al. 2 1e phrase LEVC et 418 g al. 3 CO). c) Selon les règles de la bonne foi, il faut admettre que, pour calculer la provision, les parties sont convenues de se fonder sur les encaissements intervenus, ce qui éliminait dans la mesure du possible le risque de ventes conclues non sérieusement par l'employé. Ainsi le droit à la provision constituait une créance conditionnelle, soit subordonnée à la condition suspensive que l'acheteur payât à la maison intimée le prix de vente des produits faisant l'objet du marché. En d'autres termes, cette créance ne subsistait que si la vente avait donné lieu à un encaissement effectif et c'est en ce sens que l'accord du 15 février 1961 doit être compris. BGE 90 II 483 S. 488 Cette solution s'impose pour le motif que la fabrique d'horlogerie n'avait un intérêt qu'aux ventes suivies d'un paiement, car seules elles lui permettaient d'atteindre les succès économiques escomptés lors de l'engagement du recourant. Le droit à la provision naissant au moment de la passation des contrats, il importe peu que les versements aient été faits après le 15 mars 1962. Le recourant peut donc réclamer la provision sur toutes les ventes conclues avant le 15 mars 1962, même si l'encaissement n'a eu lieu qu'après cette date. d) Le droit à la provision ne saurait devenir exigible avant l'accomplissement de la condition suspensive, soit avant le paiement. Aussi, pendant le contrat de travail et notamment après l'accord du 15 février 1961, les parties n'ont-elles calculé les provisions que sur les contrats exécutés par les acheteurs; bien plus, l'exigibilité de la provision a été reportée au 10 du mois suivant. L'expiration du contrat de travail survenue le 15 mars 1962 n'a pas eu pour conséquence d'avancer à cette date l'échéance des provisions sur les ventes dont le prix n'avait pas encore été acquitté. Le droit à la provision est resté conditionnel et, les parties n'ayant pas manifesté une intention contraire (art. 151 al. 2 CO), le recourant n'a pas pu le faire valoir avant le versement du prix de vente. L'art. 333 al. 2 CO ne s'applique pas en l'espèce, car il ne régit que les cas dans lesquels la prétention au salaire est inconditionnelle, mais n'est pas encore exigible selon les échéances fixées à l'al. 1 de cette disposition. Ainsi, l'al. 2 limite l'al. 1 de l'art. 333 CO; en revanche, il ne concerne pas les salaires encore soumis à une condition suspensive. On aboutirait autrement à ce résultat inacceptable: à cause de la résiliation du contrat de travail, l'employeur serait tenu de payer immédiatement à son employé un salaire, bien qu'il ne fût alors pas certain de le devoir définitivement par suite de l'avènement de la condition. Celle-ci viendrait-elle à défaillir, l'employeur ne pourrait souvent pas répéter le salaire versé, en raison de l'insolvabilité de l'employé. BGE 90 II 483 S. 489 En réalité, la dénonciation du contrat transformerait la condition suspensive en une condition résolutoire. Or, l'art. 333 al. 2 CO ne saurait avoir une telle signification. Cela étant, les prétentions du recourant aux provisions dues sur chaque affaire conclue sont devenues exigibles au für et à mesure que les clients ont effectué les paiements en main de l'intimée. C'est depuis chacun de ces paiements seulement que cette dernière s'est trouvée en retard pour la provision correspondante et que les intérêts moratoires doivent par conséquent courir (art. 104 CO). Quant aux ventes passées avant le 15 mars 1962 et que les acheteurs n'ont pas encore exécutées, elles ne peuvent pour le moment justifier le versement de provisions.</w:t>
      </w:r>
    </w:p>
    <w:p>
      <w:r>
        <w:rPr>
          <w:b/>
        </w:rPr>
        <w:t>E. 3</w:t>
      </w:r>
    </w:p>
    <w:p>
      <w:r>
        <w:t>En résumé, le recourant a le droit de réclamer des provisions, avec intérêts moratoires, sur toutes les ventes conclues avant le 15 mars 1962 et qui ont été suivies de paiements, même si ceux-ci sont intervenus après cette date. En admettant que le droit à la provision s'est éteint le 15 mars 1962 pour les ventes dont le prix n'avait pas alors été encaissé, la juridiction cantonale a donc faussement appliqué la loi et mal interprété les conventions signées par les parties. Comme l'état de fait du jugement attaqué ne permet pas de calculer les provisions dues au recourant et qu'il n'incombe pas au Tribunal fédéral d'examiner à cet effet les rapports de l'expert, il y a lieu d'admettre les conclusions subsidiaires de l'acte de recours, d'annuler ce jugement et de renvoyer la cause au Tribunal cantonal neuchâtelois, en l'invitant à statuer de nouveau dans le sens des considérants.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