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476</w:t>
      </w:r>
    </w:p>
    <w:p>
      <w:r>
        <w:t>Bundesgericht (BGE), 1964-01-01, DE</w:t>
      </w:r>
    </w:p>
    <w:p>
      <w:r>
        <w:rPr>
          <w:b/>
        </w:rPr>
        <w:t xml:space="preserve">Quelle: </w:t>
      </w:r>
      <w:r>
        <w:t>https://mcp.opencaselaw.ch/entscheid/bge_BGE_90_II_476</w:t>
      </w:r>
    </w:p>
    <w:p>
      <w:r>
        <w:t>FR: ATF 90 II 476</w:t>
      </w:r>
    </w:p>
    <w:p>
      <w:r>
        <w:t>IT: DTF 90 II 476</w:t>
      </w:r>
    </w:p>
    <w:p>
      <w:pPr>
        <w:pStyle w:val="Heading2"/>
      </w:pPr>
      <w:r>
        <w:t>Regeste</w:t>
      </w:r>
    </w:p>
    <w:p>
      <w:r>
        <w:t>Regeste 1. Anforderungen an den Berufungsantrag gemäss Art. 55 Abs. 1 lit. b OG (Erw. 1). 2. Unverjährbare erbrechtliche Feststellungsklage bei Ungültigkeitsfällen, die nicht Art. 519 und 520 ZGB betreffen (Erw. 2). 3. Auslegung eines Testamentes; Stellt der vom Erblasser in concreto ausgedrückte "Wunsch" eine erbrechtlich erhebliche Verfügung oder nur einen unverbindlichen Wunsch zu Händen der Erben dar? (Erw. 3 und 4).</w:t>
      </w:r>
    </w:p>
    <w:p>
      <w:r>
        <w:t>Regeste 1. Exigences quant à la recevabilité des conclusions du recours en réforme, selon l'art. 55 al. 1 litt. b OJ(consid. 1). 2. Action déclaratoire de droit successoral, imprescriptible, concernant les cas d'invalidité des dispositions pour cause de mort qui ne sont pas mentionnés aux art. 519 et 520 CC (consid. 2). 3. Interprétation d'un testament: le "voeu" exprimé en l'espèce par le testateur constitue-t-il une disposition pour cause de mort valable, au regard du droit des successions, ou seulement un voeu adressé aux héritiers, mais qui ne les lie pas? (consid. 3 et 4).</w:t>
      </w:r>
    </w:p>
    <w:p>
      <w:r>
        <w:t>Regesto 1. Requisiti per la ricevibilitù delle conclusioni del ricorso per riforma, secondo l'art. 55 cpv. 1 lett. b OG (consid. 1). 2. Imprescrittibilità di una azione di accertamento di diritto successorio concernente i casi di annullabilità delle disposizioni per causa di morte non menzionati agli art. 519 e 520 CC (consid. 2). 3. Interpretazione di un testamento: il "desiderio" espresso in concreto dal testatore costituisce una disposizione valida, secondo il diritto successorio, oppure soltanto un invito non vincolante rivolto agli eredi? (consid. 3 e 4).</w:t>
      </w:r>
    </w:p>
    <w:p>
      <w:pPr>
        <w:pStyle w:val="Heading2"/>
      </w:pPr>
      <w:r>
        <w:t>Erwägungen</w:t>
      </w:r>
    </w:p>
    <w:p>
      <w:r>
        <w:rPr>
          <w:b/>
        </w:rPr>
        <w:t>E. 1</w:t>
      </w:r>
    </w:p>
    <w:p>
      <w:r>
        <w:t>Die Berufungsschrift muss gemäss Art. 55 Abs. 1 lit. b OG die genaue Angabe enthalten, welche Punkte des vorinstanzlichen Entscheides angefochten und welche Abänderungen beantragt werden. Der blosse Hinweis auf im kantonalen Verfahren gestellte Anträge genügt nicht. Nach der Rechtsprechung brauchen aber die begehrten Änderungen im Berufungsantrag nicht vollständig um schrieben zu werden. Es genügt, wenn aus dem Antrag in Verbindung mit der Berufungsbegründung oder mit dem vorinstanzlichen Urteil ohne weiteres ersichtlich ist, welche Änderungen nach dem Willen des Berufungsklägers erfolgen sollen ( BGE 78 II 448 Erw. 1, BGE 80 II 245 Erw. 1, BGE 81 II 251 Erw. 1, BGE 85 II 481 Erw. 1 und 531 Erw. 1 sowie BGE 88 II 206 Erw. 2). Diese Mindestanforderungen sind hier erfüllt. Die Klagbegehren, deren Schutz die Berufungsklägerin in vollem Umfang verlangt, sind im Ingress des angefochtenen Urteils des Kantonsgerichtes wörtlich wiedergegeben. Auf die Berufung ist deshalb einzutreten.</w:t>
      </w:r>
    </w:p>
    <w:p>
      <w:r>
        <w:rPr>
          <w:b/>
        </w:rPr>
        <w:t>E. 2</w:t>
      </w:r>
    </w:p>
    <w:p>
      <w:r>
        <w:t>Umstritten ist, ob der Nachlass der Marie Antoinette Knie-Meyer durch das Testament ihres vorverstorbenen Ehegatten Charles Knie belastet wird, in welchem dieser mit Nachtrag vom 18. Februar 1939 den Wunsch ausgedrückt hat, die Liegenschaft zur Diana in Rapperswil solle nicht veräussert, sondern als Ruheplätzchen für seine Frau, die Brüder Friedrich und Eugen sowie deren Kinder erhalten bleiben. Die Klägerin, eine Tochter des Eugen Knie, leitet aus dieser Testamentsstelle Rechte ab und verlangt, das Testament der Marie Antoinette Knie-Meyer vom 14. Juli 1954 /29. Mai 1958, mit dem das Haus BGE 90 II 476 S. 480 zur Diana dem luzernischen Blindenheim in Horw vermacht worden ist, sei ungültig zu erklären und die Liegenschaft an die Klägerin herauszugeben. Die Aktivlegitimation der Klägerin ist für beide Rechtsbegehren zu bejahen; im Gegensatz zur Vorinstanz auch für den Antrag auf Ungültigerklärung des Testamentes. Wohl fehlt es an den Voraussetzungen für eine Ungültigkeitsklage gemäss Art. 519 und 520 ZGB . Das Begehren der Klägerin auf Ungültigerklärung ist jedoch dahin zu verstehen, das Testament der Marie Antoinette Knie sei insofern unwirksam, als sie die Liegenschaft zur Diana trotz fehlender Verfügungsbefugnis vermacht habe. Um dies gerichtlich feststellen zu lassen, steht ihr eine unverjährbare Feststellungsklage zu (vgl. BGE 89 II 184 , BGE 81 II 27 Erw. 4; ferner Vorbemerkungen zu Art. 519 bis 521 ZGB, bei TUOR N. 8-12, bei ESCHER N. 2).</w:t>
      </w:r>
    </w:p>
    <w:p>
      <w:r>
        <w:rPr>
          <w:b/>
        </w:rPr>
        <w:t>E. 3</w:t>
      </w:r>
    </w:p>
    <w:p>
      <w:r>
        <w:t>Das Schicksal der Klage hängt davon ab, ob der "Wunsch", den Charles Knie in sein berichtigtes Testament von 1939 betreffend die Liegenschaft zur Diana aufgenommen hat, eine erbrechtlich erhebliche Verfügung ist, oder nur ein unverbindlicher Wunsch zu Händen seiner Erben. Die Vorinstanz hat das Testament in letzterem Sinne ausgelegt. An diese Auslegung ist das Bundesgericht jedoch nicht gebunden. Seiner Prüfung untersteht nach ständiger Praxis das, was der Erblasser wollte; verbindlich sind für das Bundesgericht nur die tatsächlichen Feststellungen, aus denen dieser Wille erschlossen wird ( BGE 50 II 109 , 228 Erw. 2; BGE 52 II 431 Erw. 2; BGE 56 II 354 oben; BGE 79 II 39 Erw. 1; BGE 82 II 518 Erw. 5; BGE 84 II 510 in fine; BGE 88 II 71 ; vgl. auchBGE 69 II 319f.; abweichendBGE 69 II 75; ferner DESCHENAUX, La distinction du fait et du droit dans les procédures de recours au Tribunal fédéral, S. 87 f.).</w:t>
      </w:r>
    </w:p>
    <w:p>
      <w:r>
        <w:rPr>
          <w:b/>
        </w:rPr>
        <w:t>E. 4</w:t>
      </w:r>
    </w:p>
    <w:p>
      <w:r>
        <w:t>Bei seiner Beurteilung der Tragweite der Testamentsnachträge vom 19. Februar 1939 hat sich das Kantonsgericht an die richtigen Auslegungsgrundsätze gehalten. Es hat auf Grund der Testamentsurkunden zu ermitteln BGE 90 II 476 S. 481 versucht, was der Erblasser unter der umstrittenen Wendung, "an meine letztwillige Verfügung knüpfe ich den Wunsch,...", verstanden, was er damit gewollt hat ( BGE 47 II 29 Erw. 3, BGE 83 II 435 /436; TUOR, Vorbemerkungen zu Art. 481-497 ZGB , N. 15; PICENONI, Die Auslegung von Testament und Erbvertrag, S. 67). a) Es fällt auf, dass der Erblasser die juristischen Ausdrücke des Erbrechtes genau kennt und in seinem Testament klare erbrechtliche Verfügungen getroffen hat. So hat er schon in der Fassung des Testamentes vom 11. Mai 1938 erklärt, er entziehe seinen gesamten Nachlass der gesetzlichen Erbfolge, setze die pflichtteilsberechtigten Erben auf den gesetzlichen Pflichtteil, bestimme seine Ehefrau als Universalerbin und seine beiden Neffen Fredy und Rolf Knie als Nacherben; seine Ehefrau dürfe als Vorerbin ohne Einschränkung über die Hinterlassenschaft verfügen und sei den Nacherben nicht zur Sicherstellung verpflichtet. Im Testamentsnachtrag hat er dann - worüber die Parteien einig sind - sinngemäss die Nacherbeneinsetzung seiner Neffen aufgehoben und es seiner Gattin überlassen, ihren Erbteil nach eigenem Ermessen an seine Brüder und deren Kinder zu vermachen. b) Auf die klaren und eindeutigen Verfügungen in Ziffern 1-3 des Testamentes folgt in Ziffer 4 die Einsetzung eines Testamentsvollstreckers und am Schluss, in Ziffer 5, die Erklärung: "An meine letztwillige Verfügung knüpfe ich den Wunsch...". Mit dieser Wendung wird nach dem ganzen Testamentstext keine erbrechtliche Anordnung getroffen. Der Erblasser äussert nur den unverbindlichen Wunsch, das Haus zur Diana solle seiner Ehefrau und den näher bezeichneten Verwandten als Ruheplätzchen dienen und nicht verkauft werden. Hätte Charles Knie über die zukünftige Verwendung des Hauses zur Diana letztwillige Anordnungen treffen wollen, so wäre er den durch das Erbrecht vorgesehenen Verfügungsmöglichkeiten nachgegangen und hätte beispielsweise, dem Zweck des geäusserten BGE 90 II 476 S. 482 Wunsches entsprechend, eine Stiftung gemäss Art. 493 ZGB verfügt. c) Entgegen der Auffassung der Klägerin kann in Ziffer 5 keine Ausnahme von Ziffer 3, mit welcher der Ehefrau die unbeschränkte Verfügungsfreiheit über den Nachlass eingeräumt worden ist, erblickt werden. Charles Knie hat für die Liegenschaft zur Diana nicht etwas anderes als für den übrigen Nachlass angeordnet und das Haus nicht unter allen Umständen den "Zirkusleuten" erhalten wollen. Er hat lediglich zuhanden seiner Ehefrau und übrigen Erben den Wunsch geäussert, die freie Verfügungsmöglichkeit nicht zu benutzen. Ziffer 5 des Testamentes beinhaltet einen nicht seltenen Zusatz, mit dem der Erblasser den Erben eine Anregung macht, wie sie allenfalls später über die Erbschaftsaktiven verfügen könnten. d) Richtig ist, dass mit den Worten wünschen oder Wunsch in einem Testament der letzte Wille eines Erblassers zum Ausdruck kommen kann. So ist in BGE 88 II 67 f. der von einer Erblasserin an eine Bank gerichtete Brief mit der Wendung "je désire que..." als letztwillige Verfügung ausgelegt worden. Mit dieser Ausdrucksweise kann man im Verkehr mit einer Bank auf den Todesfall hin bestimmte verbindliche Aufträge erteilen. Im vorliegenden Fall jedoch hat der Erblasser scharf zwischen letztwilliger Verfügung und blossem Wunsch unterschieden; es geht nicht an, seinen Wunsch den erbrechtlichen Anordnungen gleichzustellen.</w:t>
      </w:r>
    </w:p>
    <w:p>
      <w:r>
        <w:rPr>
          <w:b/>
        </w:rPr>
        <w:t>E. 5</w:t>
      </w:r>
    </w:p>
    <w:p>
      <w:r>
        <w:t>Die überlebende Marie Antoinette Knie-Meyer ist somit berechtigt gewesen, die Liegenschaft dem luzernischen Blindenheim in Horw zu vermachen. Ihr Testament ist im angefochtenen Punkt nicht unwirksam; auch das Begehren auf Eigentumsübertragung des Hauses zur Diana an die Klägerin ist unbegründet. Ob dem beklagten Blindenheim die Passivlegitimation fehlt und ihm gegenüber schon aus diesem Grunde die Klage abzuweisen wäre, kann offen bleiben. BGE 90 II 476 S. 483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