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461</w:t>
      </w:r>
    </w:p>
    <w:p>
      <w:r>
        <w:t>Bundesgericht (BGE), 1964-01-01, DE</w:t>
      </w:r>
    </w:p>
    <w:p>
      <w:r>
        <w:rPr>
          <w:b/>
        </w:rPr>
        <w:t xml:space="preserve">Quelle: </w:t>
      </w:r>
      <w:r>
        <w:t>https://mcp.opencaselaw.ch/entscheid/bge_BGE_90_II_461</w:t>
      </w:r>
    </w:p>
    <w:p>
      <w:r>
        <w:t>FR: ATF 90 II 461</w:t>
      </w:r>
    </w:p>
    <w:p>
      <w:r>
        <w:t>IT: DTF 90 II 461</w:t>
      </w:r>
    </w:p>
    <w:p>
      <w:pPr>
        <w:pStyle w:val="Heading2"/>
      </w:pPr>
      <w:r>
        <w:t>Regeste</w:t>
      </w:r>
    </w:p>
    <w:p>
      <w:r>
        <w:t>Regeste Persönlichkeits- und Namenschutz zu Gunsten juristischer Personen, insbesondere von Vereinen. Art. 28 und 29, 53 und 60 ZGB. Kennzeichnender Hauptbestandteil eines Vereinsnamens. Namensanmassung, begangen durch einen jüngeren Verein, dessen Name den gleichen Hauptbestandteil enthält. Gefahr der Verwechslung und anderer Irrtümer. Ebenfalls unter Art. 29 Abs. 2 ZGB fallender Gebrauch eines Namens als Titel einer Zeitschrift.</w:t>
      </w:r>
    </w:p>
    <w:p>
      <w:r>
        <w:t>Regeste Protection de la personnalité et du nom des personnes morales, plus particulièrement des associations. Art. 28, 29, 53 et 60 CC. Elément principal et caractéristique du nom d'une association. Usurpation de nom commise par une autre association, de constitution plus récente, dont le nom contient le même élément principal. Risque de confusion et d'autres erreurs. Emploi d'un nom comme titre d'une revue, qui tombe également sous le coup de l'art. 29 al. 2 CC.</w:t>
      </w:r>
    </w:p>
    <w:p>
      <w:r>
        <w:t>Regesto Protezione della personalità e del nome delle persone giuridiche, in particolare delle associazioni. Art. 28 e 29, 53 e 60 CC. Elemento principale e caratteristica del nome di un'associazione. Usurpazione di nome commessa da un'altra associazione di più recente costituzione, il cui nome contiene il medesimo elemento principale. Rischio di confusione e di altri errori. Uso di un nome come titolo di una rivista, a cui è parimente applicabile l'art. 29 cpv. 2 CC.</w:t>
      </w:r>
    </w:p>
    <w:p>
      <w:pPr>
        <w:pStyle w:val="Heading2"/>
      </w:pPr>
      <w:r>
        <w:t>Erwägungen</w:t>
      </w:r>
    </w:p>
    <w:p>
      <w:r>
        <w:rPr>
          <w:b/>
        </w:rPr>
        <w:t>E. 1</w:t>
      </w:r>
    </w:p>
    <w:p>
      <w:r>
        <w:t>Der erstinstanzliche Entscheid ist im summarischen Verfahren, nämlich im Befehlsverfahren nach §§ 292 ff. der zürcherischen ZPO, ergangen, und das obergerichtliche Urteil beruht auf der Überprüfung jenes Entscheides. Dennoch hat man es mit einem der Berufung an das Bundesgericht unterliegenden Endentscheid im Sinne von Art. 48 OG zu tun. Wie in BGE 82 II 562 Erw. 3 dargetan worden ist, kann das zürcherische Befehlsverfahren zur endgültigen Beurteilung zivilrechtlicher Ansprüche führen. So ist es im vorliegenden Falle geschehen; es ist kein ordentliches Verfahren vorbehalten worden.</w:t>
      </w:r>
    </w:p>
    <w:p>
      <w:r>
        <w:rPr>
          <w:b/>
        </w:rPr>
        <w:t>E. 2</w:t>
      </w:r>
    </w:p>
    <w:p>
      <w:r>
        <w:t>Das Obergericht geht zutreffend davon aus, dass der Gotthard-Bund als Verein mit idealer Zweckbestimmung ( Art. 60 Abs. 1 ZGB ) wie alle juristischen Personen den Schutz der Persönlichkeit im allgemeinen (Art. 53 in Verbindung mit Art. 28 ZBG) und insbesondere auch den Namenschutz nach Art. 29 ZGB geniesst ( BGE 42 II 317 , BGE 90 II 461 S. 464 BGE 44 II 86 , BGE 80 II 140 und 284, BGE 83 II 255 ). Es ist ihm auch darin beizustimmen, dass das Namensrecht nicht nur dann verletzt ist, wenn jemand sich unbefugt den Namen eines andern unverändert beilegt, sondern auch dann, wenn er einen täuschend ähnlichen Namen annimmt und führt, der geeignet ist, Verwirrung zu stiften und erhebliche Interessen des andern zu beeinträchtigen ( BGE 80 II 145 und 284/85). Eine solche Verletzung ist, wie das Obergericht näher darlegt, dem Kläger dadurch widerfahren, dass das seinen Namen kennzeichnende Wort "Gotthard" als zentraler Bestandteil des Namens des beklagten Vereins und des Titels der von diesem herausgegebenen Zeitschrift verwendet wird. Die Beklagten weisen demgegenüber vorerst darauf hin, dass hier das strengere Firmenrecht ( Art. 944 ff. OR ) nicht anwendbar sei, sondern nur analog "als Wertmesser" berücksichtigt werden dürfe. In der Tat unterstehen ideale Vereine dem Firmenrechte nicht, selbst wenn sie im Handelsregister eingetragen sind ( BGE 34 II 114 ff., BGE 80 II 283 /84). Das Obergericht hat jedoch gar nicht Firmenrecht angewendet, und den besonderen Firmenschutz (vgl. BGE 79 II 310 /11) hat der Kläger auch nicht angerufen. Der Namenschutz nach Art. 29 ZGB aber - der übrigens auch einer des Firmenschutzes teilhaftigen Unternehmung zu gewähren ist, soweit eine nicht firmenmässige Verwendung ihres Namens in Frage steht (vgl. BGE 40 II 605 , BGE 52 II 398 , BGE 66 II 263 , BGE 72 II 386 /87, BGE 88 II 31 ) - kommt dem Kläger in vollem Masse zu. Im übrigen erklären die Beklagten selbst: "Für uns alle war und ist der Gotthard Symbol". Dennoch halten sie für entscheidend, dass an und für sich ein geographischer Begriff, also eine Sachbezeichnung, vorliege. Diese dürfe nicht von einer einzelnen Vereinigung als ein ihr ausschliesslich zukommender Namensbestandteil in Anspruch genommen werden. Der Kläger nenne sich denn auch nicht einfach "Gotthard", was kein gültiger Name einer Vereinigung wäre, sondern "Gotthard-Bund", und in entsprechender BGE 90 II 461 S. 465 Weise dürfe sich die neuere Vereinigung (mit deutlicher Abweichung in Wortbild und Klang) "Neuer GotthardRing" nennen. Dieser Betrachtungsweise ist nicht zu folgen. Es ist vor allem an die besondere Symbolkraft des Gotthardes in der gefahrvollen Zeit vor und nach Ausbruch des zweiten Weltkrieges zu erinnern, wie sie bereits in der Botschaft des Bundesrates vom 9. Dezember 1938 über die Organisation und die Aufgaben der schweizerischen Kulturwahrung und Kulturwerbung ausgedrückt ist (Bundesblatt 1938 II 985 ff., bes. 998/99): "Ein Blick auf die europäische Karte zeigt uns, dass der gewaltige Wall der Alpen an einer Stelle sich zurück- und zusammenzieht auf einen massigen, aber einzigen Gebirgsblock: am St. Gotthard. Es kommt nicht von ungefähr, dass die ersten eidgenössischen Bünde sich um den Gotthardpass lagerten. Diese Tatsache war providentiell und wesentlich für den Sinn und die Sendung des eidgenössischen Staatsgedankens. Am Gotthard entspringen die drei Ströme, durch die wir den drei für die Geschichte des Abendlandes bedeutungsvollsten Lebensräumen verbunden sind: Rhein, Rhone und Tessin. Der Berg der Mitte trennt und verbindet diese drei geistigen Lebensräume. Es wäre ein naturwidriges Unterfangen, die Kultur unseres Landes von der kulturellen Gemeinschaft mit den drei Lebensräumen losreissen zu wollen, denen wir weitgehend verbunden sind. Wir dürfen nicht vom Wechselnden und Akzidentellen das Bleibende, Substanzielle überschatten lassen. Wenn der Tessiner Giuseppe Zoppi den Standpunkt vertritt, dass der Tessin desto sinnvoller seine schweizerische Mission erfülle, je reiner er seine geistige Verbundenheit mit der bleibenden Grösse italienischer Kultur zu bewahren vermöge, so gilt das gleiche sinngemäss für die welschen Miteidgenossen und für die Deutschschweizer alemannischen Blutes. .... Es ist doch etwas Grossartiges, etwas Monumentales, dass um den Gotthard, den Berg der Scheidung und den Pass der Verbindung, eine gewaltig grosse Idee ihre Menschwerdung, ihre Staatswerdung feiern durfte, eine europäische, eine universelle Idee: die Idee einer geistigen Gemeinschaft der Völker und der abendländischen Kulturen!. .... Uns auf dieses wahrhaft Monumentale, wahrhaft Wunderbare in unserem eidgenössischen Staatsgedanken zu besinnen und uns dessen in tiefster Seele bewusst zu werden, das allein schon ist ein wesentliches Element geistiger Verteidigung unseres Landes." Im Juli 1940, in einer Zeit höchster Gefahr, ist der Kläger gegründet worden und hat die Benennung "Gotthard" als Wahrzeichen der Verteidigungsbereitschaft gewählt. Wie der angefochtene Entscheid (mit Hinweis auf das Schweizer Lexikon Bd. III 1946 S. 1214) darlegt, ist der Kläger der breiten Öffentlichkeit bekannt geworden, nachdem er sich BGE 90 II 461 S. 466 jahrelang unter dem Namen "Gotthard-Bund" für die politische Unabhängigkeit der Schweiz eingesetzt hatte. Sein Name hat daher einen kennzeichnenden originalen Charakter erlangt (vgl. BGE 42 II 318 ff., BGE 82 II 342 ), woraus des Obergericht mit Recht auf eine zur Individualisierung des Klägers geeignete Unterscheidungskraft des in diesem Namen enthaltenen Hauptbestandteils schliesst. Dem Kläger gebührt somit das von ihm in Anspruch genommene Vorzugsrecht. Dem Namensrecht hat das Gesetz nicht wie dem Firmenrecht bestimmte räumliche Grenzen gezogen. Da sich die Tätigkeit des Klägers auf das ganze Gebiet der Schweiz erstreckt, hat er ein schutzwürdiges Interesse, in der ganzen Schweiz vor Namensverletzungen bewahrt zu sem. Dass sich der Name des Beklagten 1 genügend von demjenigen des Klägers unterscheide, ist sodann in Übereinstimmung mit dem angefochtenen Urteil zu verneinen. Der zentrale Namensbestandteil "Gotthard" ist so einprägsam, dass weder das vorausgehende Wort "Neue" noch die nachfolgende, freilich in Bild und Klang abweichende, aber gleichbedeutende Benennung "Ring" statt "Bund" die Verwechslungsgefahr zu bannen vermögen. Der vom Beklagten 1 verwendete Name kann auch jemanden täuschen, dem der Name des Klägers genau erinnerlich ist. Er kann nämlich zur Annahme verleiten, der Kläger selbst habe wegen neuer Zielsetzung den neuen Namen angenommen, oder aber, er sei durch den Beklagten 1 abgelöst worden und bestehe nicht mehr. Zum mindesten lässt die Ähnlichkeit der beiden Namen mit dem gleichen Hauptbestandteil vermuten, die beiden Vereinigungen seien miteinander irgendwie verbunden. Wie aber mehrmals entschieden worden ist, liegt eine durch Art. 29 ZGB verpönte Namensverletzung auch darin, dass jemand als Namensträger durch Gedankenassoziationen in Beziehungen hineingestellt wird, die er füglich ablehnen darf ( BGE 72 II 150 , BGE 80 II 147 ). BGE 90 II 461 S. 467 Einwandfrei ist endlich der Standpunkt des Obergerichts, als Namensanmassung habe auch die unbefugte Verwendung eines Namens zur Bezeichnung einer Sache, insbesondere als Titel einer Zeitschrift, zu gelten ( BGE 80 II 140 , BGE 87 II 111 ). Die Einrede, der Unterlassungsanspruch des Klägers sei nach den Artikeln 2 und 30 ZGB als verwirkt zu betrachten, hält die Beklagtschaft vor Bundesgericht nicht aufrecht. Es erübrigt sich daher, diesen Punkt hier zu erörtern.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