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365</w:t>
      </w:r>
    </w:p>
    <w:p>
      <w:r>
        <w:rPr>
          <w:i/>
        </w:rPr>
        <w:t>Bundesgericht (BGE)</w:t>
      </w:r>
      <w:r>
        <w:rPr>
          <w:i/>
        </w:rPr>
        <w:t xml:space="preserve">  ·  1964-01-01</w:t>
      </w:r>
      <w:r>
        <w:rPr>
          <w:i/>
        </w:rPr>
        <w:t xml:space="preserve">  ·  DE</w:t>
      </w:r>
    </w:p>
    <w:p>
      <w:r>
        <w:rPr>
          <w:b/>
        </w:rPr>
        <w:t xml:space="preserve">Source: </w:t>
      </w:r>
      <w:r>
        <w:t>https://mcp.opencaselaw.ch/entscheid/bge_BGE_90_II_365</w:t>
      </w:r>
    </w:p>
    <w:p>
      <w:r>
        <w:t>FR: ATF 90 II 365 · IT: DTF 90 II 365</w:t>
      </w:r>
    </w:p>
    <w:p>
      <w:pPr>
        <w:pStyle w:val="Heading2"/>
      </w:pPr>
      <w:r>
        <w:t>Regeste</w:t>
      </w:r>
    </w:p>
    <w:p>
      <w:r>
        <w:t>Regeste Begriff des Endentscheides. - Was kann Gegenstand eines summarischen Verfahrens sein? - Pflicht des Willensvollstreckers zur Auskunfterteilung an die Erben. 1. Ein im summarischen Befehlsverfahren der §§ 292 ff. der zürcherischen ZPO gefällter Entscheid kann den Charakter eines Endentscheides nach Art. 48 OG auch dann haben, wenn einzelne Klagevorbringen in diesem Verfahren unberücksichtigt gelassen wurden mit dem Vorbehalt ihrer Geltendmachung in einem ordentlichen Verfahren. (Art. 48 OG). Zur Frage der materiellen Rechtskraft und der Identität von Ansprüchen. (Erw. 1). 2. Ob in einem summarischen Verfahren einzelne tatbeständliche Vorbringen unberücksichtigt bleiben müssen, ist eine Frage des kantonalen Prozessrechts (Erw. 2). 3. Über Tatsachen, die für die Erbteilung von Bedeutung sind, haben die Erben und der Willensvollstrecker einander Auskunft zu geben. Insbesondere können die Erben verlangen, dass der Willensvollstrecker ihnen Einsicht in Akten gebe, die sich auf Zuwendungen des Erblassers unter Lebenden, sei es an einzelne Erben oder an Dritte, beziehen, sofern diese Zuwendungen Grund zur Ausgleichung (Art. 626 ff. ZGB) oder Gegenstand einer Herabsetzung (Art. 522 ff. ZGB) bilden können. Unter welchen Voraussetzungen hat der Willensvollstrecker den Erben auch in seinem Besitze befindliche Akten Dritter vorzulegen? (Erw. 3).</w:t>
      </w:r>
    </w:p>
    <w:p>
      <w:r>
        <w:t>Regeste Notion de la décision finale. - Quelles mesures peut-on prendre dans une procédure sommaire? Obligation de l'exécuteur testamentaire de procurer des renseignements aux héritiers. 1. Une décision rendue en procédure sommaire selon les art. 292 ss PC zuricois peut avoir le caractère d'une décision finale selon l'art. 48 OJ même si quelques moyens n'ont pas été examinés dans cette procédure, en réservant le droit des parties de les faire valoir dans une procédure ordinaire (art. 48 OJ). Autorité de la chose jugée et identité des prétentions. (Consid. 1.) 2. C'est le droit de procédure cantonal qui détermine si, dans une procédure sommaire, certains moyens de fait ne doivent pas être pris en considération. (Consid. 2.) 3. Les héritiers et l'exécuteur testamentaire sont tenus de se renseigner mutuellement sur les faits importants pour le partage de la succession. En particulier, les héritiers peuvent exiger que l'exécuteur testamentaire leur permette de consulter les pièces rapportant aux attributions que le défunt a faites par actes entre vifs soit à l'un ou l'autre des héritiers, soit à des tiers, pour autant que ces attributions puissent être assujetties au rapport (art. 626 ss CC) ou à la réduction (art. 522 ss CC). A quelles conditions l'exécuteur testamentaire doit-il leur présenter également les pièces appartenant à des tiers, mais qui se trouvent en sa possession? (Consid. 3.)</w:t>
      </w:r>
    </w:p>
    <w:p>
      <w:r>
        <w:t>Regesto Nozione di decisione finale. - Cosa può essere oggetto di una procedura sommaria? Obbligo dell'esecutore testamentario di dare informazioni agli eredi. 1. Una decisione presa in un procedimento esecutivo sommario secondo i §§ 292 sgg. PC zurighese può avere il carattere di decisione finale nel senso dell'art. 48 OG, anche se, in questo procedimento, determinate allegazioni sono rimaste inevase, riservato il diritto delle parti di farle valere in una procedura ordinaria (art. 48 OG). Autorità di cosa giudicata e identità delle pretese (consid. 1). 2. La questione di stabilire se, in una procedura sommaria, singole allegazioni di fatto non debbano essere prese in esame, è di diritto procedurale cantonale (consid. 2). 3. Gli eredi e l'esecutore testamentario sono tenuti ad informarsi reciprocamente sui fatti importanti per la divisione della successione. In particolare, gli eredi possono esigere che l'esecutore testamentario permetta loro di consultare i documenti riferentisi alle attribuzioni che il defunto ha fatto per atto tra vivi sia all'uno o all'altro degli eredi, sia a terzi, in quanto queste attribuzioni possano essere assoggettate a collazione (art. 626 sgg. CC) o a riduzione (art. 522 sgg. CC). A quali condizioni l'esecutore testamentario deve presentare agli eredi anche documenti in suo possesso, ma appartenenti a terzi? consid. 3).</w:t>
      </w:r>
    </w:p>
    <w:p>
      <w:pPr>
        <w:pStyle w:val="Heading2"/>
      </w:pPr>
      <w:r>
        <w:t>Erwägungen</w:t>
      </w:r>
    </w:p>
    <w:p>
      <w:r>
        <w:rPr>
          <w:b/>
        </w:rPr>
        <w:t>E. 1</w:t>
      </w:r>
    </w:p>
    <w:p>
      <w:r>
        <w:t>Gegenstand des angefochtenen Beschlusses ist ein Begehren um Gewährung von Akteneinsicht gestützt auf Normen des Bundesprivatrechts (nämlich Art. 607 Abs. 3 und Art. 610 Abs. 2 in Verbindung mit Art. 517/18 ZGB). Über diesen Anspruch, so wie er geltend gemacht wurde, hat die Vorinstanz zwar im summarischen Verfahren, aber dennoch abschliessend geurteilt, entsprechend den Normen des Befehlsverfahrens nach § 292 der zürcherischen ZPO. Der angefochtene Beschluss stellt sich daher im Sinne von Art. 48 OG als letztinstanzlicher kantonaler Endentscheid in einer materiell vom Bundesrecht beherrschten Zivilrechtsstreitigkeit dar (vgl. BGE 82 II 555 ff.). Ob dem Anspruch auf Auskunft und Akteneinsicht vermögensrechtlicher Charakter zukomme, kann dahingestellt bleiben. Jedenfalls wäre der für die Berufung an das Bundesgericht erforderliche Streitwert von Fr. 8000.-- ( Art. 46 OG ) bezw. (für das Verfahren mit mündlicher Parteiverhandlung nach Art. 62 OG ) Fr. 15'000.-- gegeben, da die in Frage stehenden Vermögenswerte, wie unbestritten ist, viele Millionen Schweizerfranken betragen. Bei Annahme einer nicht vermögensrechtlichen Streitigkeit wäre die Berufung nach Art. 44 OG ohne weiteres zulässig. Der Charakter eines Endentscheides geht dem angefochtenen Beschlusse nicht etwa deshalb ab, weil das Obergericht den von den Klägern eingenommenen Standpunkt, die Crisanus-Familienstiftung sei eine (auch nach liechtensteinischem Recht) ungültige sog. Unterhaltsstiftung, unbeurteilt gelassen und einem allfälligen ordentlichen Prozesse gegen jene Stiftung vorbehalten hat. Es hat eben über den eingeklagten Anspruch gleichwohl einen Sachentscheid gefällt und dadurch das von den Klägern eingeleitete Befehlsverfahren materiell abgeschlossen. Freilich betrifft BGE 90 II 365 S. 370 der angefochtene Beschluss infolge der Ausschaltung jenes speziellen Klagegrundes bloss die Frage, ob die Kläger den Einblick in die Akten ("Skripturen, Bücher und Belege") der Crisanus-Familienstiftung schon ohne weiteres, d.h. bei vorläufiger Annahme der Gültigkeit jener Stiftung, verlangen können. Dies hat das Obergericht endgültig aus materiellrechtlichen Gründen verneint, in der Meinung, den Klägern stünden nur die Akten des Erblassers offen, nicht auch die Akten einer vom Erblasser unter Lebenden errichteten Stiftung. Darin liegt trotz dem Vorbehalt, die Stiftung auf Feststellung ihrer Ungültigkeit zu belangen, kein blosser Vorentscheid. Die Frage, ob auch bei Annahme der Gültigkeit derselben ein Anspruch auf Einblick in deren Akten, soweit sie den Vermögensstand und dessen Veränderungen betreffen, gegeben sei, kann sehr wohl für sich allein Gegenstand eines Prozesses bilden. Sollte es bei der Abweisung der auf dieser Grundlage vom Obergericht beurteilten Klage bleiben, dann aber in einem neuen Prozesse zur Nichtigerklärung der Crisanus-Familienstiftung kommen und hierauf nochmals Einblick in die betreffenden Akten verlangt werden, so wäre dieser Anspruch mit dem vorliegenden, wie ihn das Obergericht beurteilt hat, nicht identisch. Er würde sich (auch bei allenfalls gleich lautendem Rechtsbegehren) auf einen neuen Sachverhalt, eben die gerichtliche Nichtigerklärung der erwähnten Stiftung, stützen (vgl. zum Begriff des Haupturteils nach Art. 58 des frühern OG: BGE 67 III 181 , und zum teilweise abweichenden Begriff des Endentscheides nach Art. 48 des geltenden OG; BGE 84 II 398 und dort angeführte frühere Urteile, ferner BGE 86 II 123 , BGE 88 II 59 ; S. GIOVANOLI, Probleme der Berufung an das Bundesgericht, in der ZbJV 90 S. 53 ff.).</w:t>
      </w:r>
    </w:p>
    <w:p>
      <w:r>
        <w:rPr>
          <w:b/>
        </w:rPr>
        <w:t>E. 2</w:t>
      </w:r>
    </w:p>
    <w:p>
      <w:r>
        <w:t>Die Kläger beharren auch vor Bundesgericht darauf, Nichtigkeit der Crisanus-Familienstiftung geltend zu machen, um deren Akten den Nachlassakten zurechnen zu können. Indessen verstösst es nicht gegen Bundesrecht, BGE 90 II 365 S. 371 dass das Obergericht diesen Streitpunkt aus dem summarischen Befehlsverfahren ausgeschaltet hat. Allerdings sind die Behörden nach allgemeiner prozessrechtlicher Anschauung befugt, als Grundlage ihrer Entscheidung auch Rechtsfragen zu beurteilen, die dem Erkenntnisgebiet einer andern Behörde angehören (vgl. BGE 82 IV 19 , BGE 85 II 53 Erw. 2, BGE 85 IV 70 , BGE 88 I 10 , BGE 89 IV 79 Erw. 1). Dies, ohne dem Entscheid der eigentlich zuständigen Behörde vorzugreifen, also ohne dass die der Vorfrage zuteil gewordene Lösung an der Rechtskraft des Urteils teilzunehmen hätte (vgl. BGE 72 I 411 Erw. 1, BGE 74 II 189 , BGE 75 I 286 unten; LEUCH, N 11, b zu Art. 192 der bernischen ZPO). Ein bundesrechtliches Gebot, sich vorfrageweise über die Gültigkeit der Crisanus-Familienstiftung auszusprechen, bestand jedoch im vorliegenden Falle nicht. Ob dieser besondere Streitpunkt sich ohne unerwünschte Weitläufigkeit einigermassen zuverlässig in diesem summarischen Befehlsverfahren beurteilen lasse, war eine Frage des kantonalen Prozessrechts, dessen Anwendung das Bundesgericht nicht nachzuprüfen hat. Auch aus Art. 8 ZGB lässt sich nichts Gegenteiliges ableiten. Das Recht, erhebliche Tatsachen zur Begründung eines Anspruches aus Bundesprivatrecht vorzubringen und die dafür angetragenen tauglichen Beweismittel zur Geltung zu bringen, braucht sich nicht notwendigerweise in einem summarischen Verfahren auszuwirken. Es genügt in dieser Hinsicht, dass den Klägern ein ordentliches Verfahren betreffend Ungültigkeit der Stiftung vorbehalten bleibt, und dass sie bei günstigem Ausgang desselben, eben auf neuer Grundlage, nochmals Akteneinsicht werden verlangen können, sofern die vorliegende Klage erfolglos bleibt. Gegen die Beschränkung des Prozesstoffes in einem Befehlsverfahren, an dem die Crisanus-Familienstiftung nicht als Partei teilnahm, lässt sich vom Standpunkt des materiellen Rechtes aus um so weniger etwas einwenden, als damit zu rechnen ist, dass eine Klage gegen die Stiftung unter Umständen unterbleibt oder eine Ungültigerklärung sich durch eine Konversion BGE 90 II 365 S. 372 vermeiden lässt (vgl. BGE 75 II 91 Erw. 4, BGE 89 II 440 Erw. 1 und 2).</w:t>
      </w:r>
    </w:p>
    <w:p>
      <w:r>
        <w:rPr>
          <w:b/>
        </w:rPr>
        <w:t>E. 3</w:t>
      </w:r>
    </w:p>
    <w:p>
      <w:r>
        <w:t>Ist somit einstweilen von der rechtlichen Existenz der Crisanus-Familienstiftung auszugehen, so ist deren Vermögen nicht als Bestandteil des Nachlasses des Stifters zu betrachten und gelten ihre Akten nicht als Nachlassakten. Gleichwohl hat die Beklagte, entgegen der Ansicht des Obergerichts, den Klägern Einblick in diese Akten zu gewähren, soweit sie über die Veränderung des Vermögensstandes der Stiftung und ihrer Tochterunternehmungen Aufschluss geben. a) Die Erben, gesetzliche wie eingesetzte, befinden sich grundsätzlich (abgesehen von der Höhe der Erbanteile) in der gleichen rechtlichen Stellung ( Art. 607 ff. ZGB ). Sie haben daher in gleicher Weise zur Herbeiführung einer richtigen Erbteilung beizutragen. Das Gesetz verpflichtet sie insbesondere, bei der Teilung genauen Aufschluss zu geben über ihren allfälligen Besitz von Erbschaftssachen und über ihre allfälligen Schulden gegenüber dem Erblasser (Art. 607 Abs. 3). Darüber hinaus haben sie einander über ihr Verhältnis zum Erblasser alles mitzuteilen, was für die gleichmässige (den Erbanteilen entsprechende) Verteilung der Erbschaft in Berücksichtigung fällt (Art. 610 Abs. 2). Ihrem Zweck entsprechend bezieht sich diese Auskunftspflicht nicht bloss auf den Nachlass. Sie erstreckt sich auf Zuwendungen unter Lebenden, die möglicherweise zur Ausgleichung nach Art. 626 ff. zu bringen sind oder der Herabsetzung nach Art. 527 unterliegen und daher gleichfalls die Teilung beeinflussen (vgl. Art. 475; TUOR, N 5, und ESCHER, N 10 zu Art. 610 ZGB ). In gleichem Masse besteht eine Pflicht zur Gewährung von Akteneinsicht, wo dies zur richtigen Orientierung angezeigt ist; denn die Vorlegung von Aktenstücken ist nichts anderes als eine besondere Art der Auskunfterteilung. b) Wie gegenüber den Miterben, so besteht die Auskunftspflicht auch gegenüber andern Personen, die bei der Abwicklung des Erbganges mitzuwirken haben, also namentlich BGE 90 II 365 S. 373 gegenüber einem Willensvollstrecker (vgl. ESCHER, N 9 zu Art. 607 und N 4 zu Art. 610 ZGB ). Dieser muss, um die Erbteilung richtig ausführen zu können, sich auch über Ausgleichungsansprüche erkundigen und ist ferner an die der Verfügungsfreiheit des Erblassers gezogenen gesetzlichen Schranken gebunden (vgl. BGE 43 II 3 , BGE 51 II 49 , BGE 75 II 195 ; TUOR, N 2, und ESCHER, N 2 zu Art. 518). Dementsprechend hat er aber auch seinerseits die Erben über die für die Bestimmung ihrer Erbansprüche wesentlichen Tatsachen, soweit er dazu in der Lage ist, aufzuklären und sie auf die ihnen gegebenen Klagemöglichkeiten hinzuweisen (vgl. ESCHER, N 15 zu Art. 518; ferner betreffend Akteneditionspflicht eines Willensvollstreckers BlZR 55 Nr. 12). Das gilt namentlich für die Geltendmachung von Herabsetzungsansprüchen nach Art. 522 ff. ZGB , da in dieser Hinsicht dem Willensvollstrecker selbst keine Klagebefugnis zusteht ( BGE 85 II 600 ; BGE 86 II 342 ). Das Bundesgericht hat denn auch einer Entscheidung des zürcherischen Kassationsgerichtes zugestimmt, wonach der gewesene Vermögensverwalter des Erblassers und zugleich Willensvollstrecker verpflichtet war, der Witwe des Erblassers "im Hinblick auf die ihr zustehenden Herabsetzungs- und Ausgleichungsansprüche ( Art. 527, 626 ZGB )" Einsicht in Buchungen und Belege zu geben, "die über die Gründe und nähern Umstände der Vermögensverschiebungen Aufschluss geben" ( BGE 82 II 560 oben und 567). c) Eine Stiftung - und ebenso die Zuwendung an eine bereits bestehende Stiftung - kann nach Art. 82 ZGB gleich einer Schenkung angefochten werden. Sie untersteht daher namentlich auch der Herabsetzung nach Art. 527 Ziff. 3 ZGB (vgl. HAFTER, N 11 zu Art. 82 ZGB , der hervorhebt, "dass den an ihrem Pflichtteil verkürzten Erben die Herabsetzungsklage gegeben ist gegenüber jedem Stiftungsbetrag, den der Erblasser während der letzten fünf Jahre vor seinem Tode ausgerichtet hat"). Auch eine Herabsetzung nach Art. 527 Ziff. 4 kann in Frage kommen (vgl. HAFTER, N 9 daselbst). Sie erfasst beliebig weit BGE 90 II 365 S. 374 zurückliegende Zuwendungen, ist jedoch an besondere Voraussetzungen gebunden, die der sich auf diese Norm berufende Pflichtteilsberechtigte im Herabsetzungsprozesse zu beweisen hat. Indessen genügt die (hier zweifellos gegebene) ernstliche Möglichkeit eines solchen Sachverhaltes zur Begründung des Begehrens um Gewährung von Akteneinsicht. InBGE 59 II 129wurde ausgesprochen, die Witwe des Erblassers könne sich der Auskunfterteilung an die Miterben über Zuwendungen des Erblassers an sie nicht entschlagen mit der Behauptung, sie berühren die Erbschaft nicht, da es sich um die Auszahlung von Sondergut gehandelt habe. Sie hatte über Höhe und Grund der Zuwendungen Auskunft zu geben, da deren Charakter bestritten war. d) Nichts Gegenteiliges folgt daraus, dass die vom Erblasser durch Verfügung unter Lebenden errichtete Crisanus-Familienstiftung nicht selber am Erbgange teilnimmt und daher nicht unmittelbar nach den erwähnten erbrechtlichen Bestimmungen zur Auskunfterteilung und zur Aktenvorlegung an die Erben verpflichtet werden könnte. Die Beklagte ist eben nicht bloss Stiftungsorgan, sondern zugleich Willensvollstreckerin und in dieser Eigenschaft, wie dargetan, zur Auskunfterteilung und zur Gewährung von Akteneinsicht gegenüber den Erben verpflichtet. Die Doppelstellung, in der sie sich befindet, bringt zwar eine gewisse Interessenkollision mit sich. Daraus ergibt sich aber nicht durchwegs ein Konflikt der Pflichten. Dem legitimen Interesse der Kläger, im Hinblick auf Herabsetzungsansprüche über die Zuwendungen des Erblassers an jene Stiftung orientiert zu werden, steht kein legitimes Interesse der Stiftung oder der an ihr beteiligten Dritten an der Geheimhaltung dieser Vermögensvorgänge gegenüber. Vielmehr wäre gerade auch die Witwe des Erblassers verpflichtet, den Klägern über diese Vorgänge bei der zu ihren Gunsten errichteten Familienstiftung Auskunft zu geben. Schriftstücke persönlichen Charakters, die geheim zu halten wären (vgl. BGE 82 II 567 ), stehen hier nicht BGE 90 II 365 S. 375 in Frage, ebensowenig Geschäftsgeheimnisse, was die Beklagte mindestens hätte glaubhaft machen müssen (vgl. das Urteil i.S. Luder, staatsrechtliche Beschwerde, vom 15. März 1962, S. 41, betreffend die Auskunftspflicht eines an einem gewerblichen Unternehmen beteiligten Ehemannes bei der güterrechtlichen Auseinandersetzung).</w:t>
      </w:r>
    </w:p>
    <w:p>
      <w:r>
        <w:rPr>
          <w:b/>
        </w:rPr>
        <w:t>E. 4</w:t>
      </w:r>
    </w:p>
    <w:p>
      <w:r>
        <w:t>Zu Unrecht beruft sich die Beklagte endlich auf die dem Erblasser geschuldete Treue. Dieser hat die klagenden Erben auf den Pflichtteil gesetzt, was besagt, sie sollen nicht mehr, aber auch nicht weniger erhalten. Es liegt im wohlverstandenen Sinn dieser Anordnung, den pflichtteilsberechtigten Erben die zur Ermittlung ihrer Erbansprüche dienenden Unterlagen zu beschaffen und keineswegs vorzuenthalten. Wäre die Stiftung durch letztwillige Verfügung errichtet worden, so wäre der Willensvollstrecker denn auch verpflichtet, der Stiftung die ihr zugedachten Geldmittel aus der Erbschaft nur insoweit zu überweisen, als dadurch nicht allfällige pflichtteilsberechtigte Erben in ihren Rechten verletzt würden (vgl. A. BERLA, Das Verfügungsrecht des Willensvollstreckers, Diss. 1951, S. 38). Infolge der ihr vom Erblasser aufgetragenen Doppelstellung ist die Beklagte in besonderem Masse geeignet, in der von den Klägern verlangten Weise zur Bereinigung der Erbansprüche beizutragen. Dispositiv</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