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359</w:t>
      </w:r>
    </w:p>
    <w:p>
      <w:r>
        <w:t>Bundesgericht (BGE), 1964-01-01, DE</w:t>
      </w:r>
    </w:p>
    <w:p>
      <w:r>
        <w:rPr>
          <w:b/>
        </w:rPr>
        <w:t xml:space="preserve">Quelle: </w:t>
      </w:r>
      <w:r>
        <w:t>https://mcp.opencaselaw.ch/entscheid/bge_BGE_90_II_359</w:t>
      </w:r>
    </w:p>
    <w:p>
      <w:r>
        <w:t>FR: ATF 90 II 359</w:t>
      </w:r>
    </w:p>
    <w:p>
      <w:r>
        <w:t>IT: DTF 90 II 359</w:t>
      </w:r>
    </w:p>
    <w:p>
      <w:pPr>
        <w:pStyle w:val="Heading2"/>
      </w:pPr>
      <w:r>
        <w:t>Regeste</w:t>
      </w:r>
    </w:p>
    <w:p>
      <w:r>
        <w:t>Regeste Beistandschaft. Berufung an das Bundesgericht. 1. Zulässigkeit der Berufung an das Bundesgericht nach Art. 44 lit. c OG auch gegen einen die Entmündigung oder die Anordnung einer Beistandschaft oder die Aufhebung einer dieser Massnahmen ablehnenden Entscheid (Erw. 1). 2. Tritt der Inhaber der elterlichen Gewalt gemeinsam mit den Kindern in einem Rechtsstreite als Kläger oder Beklagter auf, so besteht nicht ohne weiteres Grund zur Ernennung eines Beistandes nach Art. 392 Ziff. 2 ZGB. Wohl aber dann, wenn seine Interessen mit denen der Kinder nicht parallel laufen, was unter Umständen auch beim Abschluss eines Vergleiches zutrifft. Prüfung der Interessenlage in einem Anfechtungsprozess nach Art. 285 ff. SchKG (Erw. 2).</w:t>
      </w:r>
    </w:p>
    <w:p>
      <w:r>
        <w:t>Regeste Curatelle. Recours en réforme au Tribunal fédéral. 1. Le recours en réforme au Tribunal fédéral ouvert part l'art. 44 lettre c OJ est recevable également contre une décision rejetant une requête tendant à l'interdiction ou à l'institution d'une curatelle, ainsi qu'à la suppression de l'une de ces mesures (consid. 1). 2. Le fait que le détenteur de la puissance paternelle soutient un procès conjointement avec ses enfants, comme partie demanderesse ou défenderesse, ne constitue pss à lui seul un motif de nommer un curateur selon l'art. 392 ch. 2 CC. L'institution d'une curatelle est en revanche nécessaire quand les intérêts du détenteur de la pulssance paternelle ne sont pas parallèles avec ceux des enfants. Tel peut être le cas même lorsque les plaideurs concluent une transaction. Examen des intérêts en présence dans une action révocatoire fondée sur les art. 285 ss LP (consid. 2).</w:t>
      </w:r>
    </w:p>
    <w:p>
      <w:r>
        <w:t>Regesto Curatela. Ricorso per riforma al Tribunale federale. 1. Il ricorso per riforma al Tribunale federale, di cui all'art. 44 lett. c OG, è ammissibile anche contro una decisione che rigetta un'istanza tendente all'interdizione o all'istituzione di una curatela, come pure alla revoca di siffatti provvedimenti (consid. 1). 2. Il fatto che il detentore della potestà dei genitori è, unitamente ai figli, parte attrice o convenuta in un processo, non costituisce sufficiente motivo per la nomina di un curatore secondo l'art. 392 num. 2 CC. L'istituzione di una curatela è invece necessaria quando gli interessi del detentore della potestà dei genitori non sono paralleli a quelli dei figli. Tale può essere il caso anche quando le parti stipulano una transazione. Esame degli interessi in presenza in un'azione rivocatoria fondata sugli art. 285 sgg. LEF (consid. 2).</w:t>
      </w:r>
    </w:p>
    <w:p>
      <w:pPr>
        <w:pStyle w:val="Heading2"/>
      </w:pPr>
      <w:r>
        <w:t>Erwägungen</w:t>
      </w:r>
    </w:p>
    <w:p>
      <w:r>
        <w:rPr>
          <w:b/>
        </w:rPr>
        <w:t>E. 1</w:t>
      </w:r>
    </w:p>
    <w:p>
      <w:r>
        <w:t>Nach Art. 44 ist die Berufung zulässig... "in folgenden Fällen:... c) Entmündigung und Anordnung einer Beistandschaft (Art. 369-372, 392-395 ZGB) sowie Aufhebung dieser Verfügungen". Das will nicht besagen, der Berufung unterliege nur ein diese Massnahmen oder deren Aufhebung (gemäss einem dahingehenden Gesuch) aussprechender Entscheid. Vielmehr ist, wie die Berufungskläger in zutreffender Weise geltend machen, gleichermassen ein das Gesuch abweisender Entscheid anfechtbar, wie bereits unter der Herrschaft des alten OG (zu dessen Art. 86 Ziff. 3) ausgesprochen worden ist ( BGE 50 II 97 für die Ablehnung einer Entmündigung, BGE 59 I 159 ausserdem für die Ablehnung einer Beistandschaft). So ist auch Art. 44 lit. c des geltenden OG auszulegen (vgl. BIRCHMEIER, N. 10, b zu Art. 44 OG ).</w:t>
      </w:r>
    </w:p>
    <w:p>
      <w:r>
        <w:rPr>
          <w:b/>
        </w:rPr>
        <w:t>E. 2</w:t>
      </w:r>
    </w:p>
    <w:p>
      <w:r>
        <w:t>In der Sache selbst sind die beiden Verfahren ins Auge zu fassen, in denen nach Ansicht der Berufungskläger eine die Beistandsernennung rechtfertigende Interessenkollision besteht: a) Betreibungsverfahren gegen den Vater Alois Schwegler. In dieser Betreibung haben die Gesuchsteller und deren Mutter den Pfändungsanschluss erklärt für familienrechtliche Forderungen, die ihnen gegen den Schuldner zustehen BGE 90 II 359 S. 363 würden, wenn sie im Anfechtungsprozess unterliegen sollten. Zur Wahrung der Klagefrist hat der Vertreter der Gesuchsteller und ihrer Mutter Klage um Anschluss an die Pfändung erhoben für den Fall, dass letzteres geschehen sollte. Angesichts der Abhängigkeit dieser Klage vom Ausgang des Anfechtungsprozesses hat der zuständige Einzelrichter das Verfahren sistiert bis zur rechtskräftigen Erledigung der Anfechtungsklage. Bezüglich des Pfändungsanschlusses ist somit einstweilen nichts vorzukehren und wird je nach dem Ausgang des Anfechtungsprozesses auch in Zukunft nie etwas zu unternehmen sein. Somit erweist sich das Gesuch in dieser Hinsicht jedenfalls als verfrüht. Es wäre sinnlos, einen Beistand zu ernennen in einer Angelegenheit, von der man nicht einmal weiss, ob sie überhaupt jemals in einer praktisch bedeutsamen Weise in Gang kommen wird. Schon deshalb ist der angefochtene Entscheid in diesem Punkte zu bestätigen, so dass sich die Prüfung der vom Regierungsrat verneinten Frage erübrigt, ob gegebenenfalls eine Interessenkollision bestehen wird. b) Anfechtungsprozess. In diesem Prozesse haben die Gesuchsteller und ihre Mutter dasselbe Interesse, die Abweisung der Klage zu erwirken, also den Zugriff auf die ihnen im Jahre 1958 vom Schuldner übertragenen Grundstücke abzuwehren. Indessen soll nach Ansicht der Gesuchsteller bei Gutheissung der Anfechtungsklage ein Konflikt zwischen ihren Interessen und denjenigen ihrer Mutter entstehen, weil im Anfechtungsprozesse sie sowohl wie auch ihre Mutter für den Fall eines solchen Prozessausganges einredeweise die nämlichen Ansprüche aus Elternrecht bzw. Ehescheidungs- und Ehegüterrecht geltend gemacht hätten, die anderseits den Gegenstand ihres Pfändungsanschlusses bilden. Mit Bezug auf diese Forderungen bestehe somit in beiden Verfahren die gleiche Interessenkollision. Dieser Betrachtungsweise ist nicht beizustimmen. Im Anfechtungsprozesse kann über die in Frage stehenden, für den Fall der Gutheissung der Anfechtungsklage geltend BGE 90 II 359 S. 364 gemachten Forderungen nicht entschieden werden. Eine Einrede im wahren Sinn des Wortes lässt sich aus den bei Gutheissung der Anfechtungsklage wieder auflebenden Forderungen der Anfechtungsbeklagten unmöglich herleiten. Es kann sich bloss um die Geltendmachung eines Vorbehaltes handeln, wie er nach Art. 291 Abs. 2 SchKG ohnehin gilt: des Vorbehaltes der ausserhalb des Anfechtungsprozesses erfolgenden Beurteilung der in Frage stehenden Forderungen und der Berücksichtigung des darauf entfallenden Anteils am Erlös der Verwertung der Grundstücke gestützt auf Anschlusspfändung. Freilich kann unter Umständen im Anfechtungsprozesse die eventuell wieder auflebende Forderung zur Verrechnung gebracht werden (so im Konkurse, wenn sie bereits rechtskräftig kolloziert ist, vgl. das Kreisschreiben Nr. 10 des Bundesgerichts vom 9. Juli 1915, BGE 41 III 240 ff.; fernerBGE 79 III 31ff. und BGE 83 III 43 ff.; jedoch nicht, wenn die Kollokationsverfügung noch nachgeholt werden muss, vgl. BGE 89 III 21 ff. Erw. 5). Ob unter Umständen auch bei einer Anfechtung ausserhalb des Konkursverfahrens der auf die eventuell wieder auflebende Forderung entfallende Verwertungsanteil im Urteil über die Anfechtungsklage zur Verrechnung gebracht werden könne, ist hier nicht näher zu prüfen. Im vorliegenden Falle fehlt es an der ersten Voraussetzung dafür: Gegenstand der Anfechtung und demgemäss auch der bei Gutheissung der Klage Platz greifenden Rückgewähr ist die Veräusserung von Grundstücken, die, wie nicht bestritten ist, noch im Eigentum der Anfechtungsbeklagten, also der heutigen Gesuchsteller und ihrer Mutter, stehen. Bei dieser Sachlage fällt das auf Ersatzleistung gehende Eventualbegehren der Anfechtungsklage ausser Betracht, und daher ist eine Verrechnungseinrede von vornherein ausgeschlossen. Im Falle der Gutheissung der Anfechtungsklage bleibt den Beklagten aber das Recht gewahrt, sich der Pfändung der Grundstücke mit ihren Forderungen anzuschliessen und, soweit diese anerkannt werden oder sich in einem Pfändungsanschlussprozess als BGE 90 II 359 S. 365 begründet erweisen, zu gegebener Zeit am Erlöse teilzunehmen (vgl. BGE 67 III 174 ). Endlich nehmen die Gesuchsteller den Standpunkt ein, es sollte ihnen, wenn nicht aus andern Gründen, so doch im Hinblick auf einen allfälligen Vergleichsabschluss im Anfechtungsprozess ein Beistand als besonderer Vertreter beigegeben werden. Es ist jedoch nicht die Rede von bereits angebahnten oder bevorstehenden Vergleichsverhandlungen. Das Gesuch um Beistandsernennung ist also auch in dieser Hinsicht verfrüht. Sollte es zu Vergleichsverhandlungen im Anfechtungsprozesse kommen und dabei auch über die in Frage stehenden Forderungen der Gesuchsteller eine Einigung angestrebt werden, so wäre dann allerdings zu prüfen, ob die Gesuchsteller zur Wahrung ihrer Interessen (insbesondere zur Sicherung der ihnen im Scheidungsprozesse zuerkannten Unterhaltsbeiträge) eines behördlich zu ernennenden Beistandes bedürfen.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