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310</w:t>
      </w:r>
    </w:p>
    <w:p>
      <w:r>
        <w:t>Bundesgericht (BGE), 1964-01-01, DE</w:t>
      </w:r>
    </w:p>
    <w:p>
      <w:r>
        <w:rPr>
          <w:b/>
        </w:rPr>
        <w:t xml:space="preserve">Quelle: </w:t>
      </w:r>
      <w:r>
        <w:t>https://mcp.opencaselaw.ch/entscheid/bge_BGE_90_II_310</w:t>
      </w:r>
    </w:p>
    <w:p>
      <w:r>
        <w:t>FR: ATF 90 II 310</w:t>
      </w:r>
    </w:p>
    <w:p>
      <w:r>
        <w:t>IT: DTF 90 II 310</w:t>
      </w:r>
    </w:p>
    <w:p>
      <w:pPr>
        <w:pStyle w:val="Heading2"/>
      </w:pPr>
      <w:r>
        <w:t>Regeste</w:t>
      </w:r>
    </w:p>
    <w:p>
      <w:r>
        <w:t>Regeste Genossenschaft. Machen die Statuten die Mitgliedschaft vom Eigentum an einem Grundstück abhängig (Art. 850 Abs. 1 OR) und schreiben sie vor, dass mit der Veräusserung des Grundstücks die Mitgliedschaft ohne weiteres auf den Erwerber übergeht (Art. 850 Abs. 2 OR), so ist diese Statutenbestimmung dem Erwerber gegenüber wirksam, wenn sie im Grundbuch vorgemerkt ist (Art. 850 Abs. 3 OR) oder wenn der Erwerber sich ihr unterzieht. Unterziehung durch schlüssiges Verhalten.</w:t>
      </w:r>
    </w:p>
    <w:p>
      <w:r>
        <w:t>Regeste Société coopérative. Si les statuts lient la qualité d'associé à la propriété d'un immeuble (art. 850 al. 1 CO) et prescrivent que l'aliénation de celui-ci transfère de plein droit cette qualité à l'acquéreur (art. 850 al. 2 CO), cette dernière clause produit ses effets à l'encontre de l'acquéreur lorsqu'elle est annotée au registre foncier (art. 850 al. 3 CO) ou que l'acquéreur s'y soumet, notamment par actes concluants.</w:t>
      </w:r>
    </w:p>
    <w:p>
      <w:r>
        <w:t>Regesto Società cooperativa. Se 1o statuto fa dipendere la qualità di socio dalla proprietà di un fondo (art. 850 cpv. 1 CO) e stabilisce che, con l'alienazione del fondo, la qualità di socio passa senza altro all'acquirente (art. 850 cpv. 2 CO), questa disposizione statutaria è efficace in confronto dell'acquirente se annotata nel registro fondiario (art. 850 cpv. 3 CO) o se l'acquirente vi si sottomette. Sottomissione mediante comportamento concludente.</w:t>
      </w:r>
    </w:p>
    <w:p>
      <w:pPr>
        <w:pStyle w:val="Heading2"/>
      </w:pPr>
      <w:r>
        <w:t>Erwägungen</w:t>
      </w:r>
    </w:p>
    <w:p>
      <w:r>
        <w:rPr>
          <w:b/>
        </w:rPr>
        <w:t>E. 1</w:t>
      </w:r>
    </w:p>
    <w:p>
      <w:r>
        <w:t>Mit den wiedergegebenen Statutenbestimmungen hat die Klägerin von der durch Art. 850 Abs. 1 und 2 OR geschaffenen Möglichkeit Gebrauch gemacht, die Mitgliedschaft bei einer Genossenschaft vom Eigentum an einem Grundstück oder vom wirtschaftlichen Betrieb eines solchen abhängig zu machen und für solche Fälle vorzusehen, dass mit der Veräusserung des Grundstücks oder mit der Übernahme des wirtschaftlichen Betriebs die Mitgliedschaft ohne weiteres auf den Erwerber oder Übernehmer übergeht. Die in § 7 lit. c Abs. 2 der Statuten enthaltene Vorschrift über die Vormerkung im Grundbuch knüpft an Art. 850 Abs. 3 OR an, wonach die (Statuten-) Bestimmung betreffend den Übergang der Mitgliedschaft bei Veräusserung des Grundstücks zu ihrer Gültigkeit gegenüber Dritten der Vormerkung im Grundbuch bedarf. Art. 850 Abs. 3 OR bedeutet nicht, dass die Veräusserung des Grundstücks den in den Statuten für diesen Fall vorgesehenen Übergang der Mitgliedschaft auf den Erwerber nur dann zu bewirken vermöge, wenn die betreffende Statutenbestimmung im Grundbuch vorgemerkt wurde. Die Vormerkung stellt entgegen der Auffassung des Beklagten nicht ein formelles Gültigkeitserfordernis dieses Übergangs dar. Sie dient hier wie in andern Fällen (vgl. namentlich Art. 959 ZGB ) lediglich dem Zwecke, die Durchsetzung eines persönlichen Rechts gegenüber nicht zustimmenden Dritten zu ermöglichen, und ist dementsprechend nur die Voraussetzung dafür, dass der Erwerber sich auch dann, wenn er damit nicht einverstanden ist, als Mitglied behandeln lassen muss. Kraft der Vormerkung geht die Mitgliedschaft mit der Veräusserung des Grundstücks BGE 90 II 310 S. 313 ohne Rücksicht auf den Willen des Erwerbers auf diesen über. Ist der Erwerber mit dem Übergang der Mitgliedschaft einverstanden, so ist eine auf Art. 850 Abs. 2 OR gestützte Statutenbestimmung, wonach die Veräusserung des Grundstücks die Mitgliedschaft "ohne weiteres" auf den Erwerber übergehen lässt, im Sinne dieses klaren Wortlauts anwendbar, auch wenn sie nicht vorgemerkt wurde. Eine solche Bestimmung begründet nicht bloss die Verpflichtung des Veräusserers, dem Erwerber die Mitgliedschaft zu überbinden ( BGE 89 II 145 ), sondern die Genossenschaft ordnet damit überdies auf Grund einer ausdrücklichen Ermächtigung des Gesetzgebers an, dass mit der Übertragung des Eigentums am Grundstück der Erwerber ohne weitere Förmlichkeit anstelle des Veräusserers ihr Mitglied werden soll. Diese statutarische Anordnung ist dem Erwerber gegenüber wirksam, wenn sie vorgemerkt ist oder wenn er sich ihr unterzieht. Tut er dies, so liegt darin nicht etwa eine Beitrittserklärung, die nach Art. 840 Abs. 1 OR der schriftlichen Form bedürfte. Vielmehr anerkennt er damit nur, gemäss der in Frage stehenden Statutenbestimmung infolge des Grundstückserwerbs Mitglied der Genossenschaft zu sein. Diese Anerkennung kann formlos, auch durch schlüssiges Verhalten erfolgen.</w:t>
      </w:r>
    </w:p>
    <w:p>
      <w:r>
        <w:rPr>
          <w:b/>
        </w:rPr>
        <w:t>E. 2</w:t>
      </w:r>
    </w:p>
    <w:p>
      <w:r>
        <w:t>Nach dem angefochtenen Urteil hat sich der Beklagte mehr als 10 Jahre lang als Mitglied der Klägerin "gefühlt und betätigt". Er lieferte ihr Milch und nahm an den Generalversammlungen teil, und zwar nicht etwa bloss als Gastbauer im Sinne von § 31 der Statuten, d.h. mit einem auf die Art der Milchverwertung, die Festsetzung des Milchpreises, den Verkauf der Milch und die Anstellung des Lohnkäsers beschränkten Stimmrecht. Gastbauern hatte die Klägerin überhaupt nicht. An den Generalversammlungen wurden alle Teilnehmer gleich behandelt und hielten sich alle, namentlich auch der Beklagte, für gleichberechtigt. Diese Feststellungen der Vorinstanz betreffen tatsächliche Verhältnisse. Tatsächlicher Natur sind entgegen der BGE 90 II 310 S. 314 Ansicht des Beklagten nicht bloss die Feststellungen darüber, was die Zeugen aussagten, sondern auch die Schlüsse, welche die Vorinstanz aus diesen Aussagen auf das Verhalten und die Auffassungen des Beklagten und der Genossenschaftsorgane gezogen hat. Diese Schlüsse sind das Ergebnis einer Beweiswürdigung, die der Überprüfung durch das Bundesgericht entzogen ist. Dass die wiedergegebenen Feststellungen unter Verletzung bundesrechtlicher Beweisvorschriften zustande gekommen seien oder offensichtlich auf Versehen beruhen, behauptet der Beklagte mit Recht nicht. Sie sind daher gemäss Art. 63 Abs. 2 OG für das Bundesgericht verbindlich. Indem der Beklagte sich in der beschriebenen Weise vom Erwerb des väterlichen Hofes an während vieler Jahre als Mitglied der Klägerin benahm, hat er sich der statutarischen Anordnung, wonach die Mitgliedschaft mit der Veräusserung des Grundstücks ohne weiteres auf den Erwerber übergeht, durch schlüssiges Verhalten unterzogen. Er ist daher gemäss Erwägung 1 hievor Mitglied der Klägerin geworden, obwohl die betreffende Statutenbestimmung im Grundbuch nicht vorgemerkt war.</w:t>
      </w:r>
    </w:p>
    <w:p>
      <w:r>
        <w:rPr>
          <w:b/>
        </w:rPr>
        <w:t>E. 3</w:t>
      </w:r>
    </w:p>
    <w:p>
      <w:r>
        <w:t>Ist im vorliegenden Falle aus den angeführten Gründen unerheblich, dass eine Vormerkung im Grundbuch fehlte, so stellt sich die Frage nicht, ob es, wie die Vorinstanz annahm, einen Rechtsmissbrauch bedeutete, dass der Beklagte sich auf den Mangel einer solchen Vormerkung berief.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