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269</w:t>
      </w:r>
    </w:p>
    <w:p>
      <w:r>
        <w:t>Bundesgericht (BGE), 1964-01-01, DE</w:t>
      </w:r>
    </w:p>
    <w:p>
      <w:r>
        <w:rPr>
          <w:b/>
        </w:rPr>
        <w:t xml:space="preserve">Quelle: </w:t>
      </w:r>
      <w:r>
        <w:t>https://mcp.opencaselaw.ch/entscheid/bge_BGE_90_II_269</w:t>
      </w:r>
    </w:p>
    <w:p>
      <w:r>
        <w:t>FR: ATF 90 II 269</w:t>
      </w:r>
    </w:p>
    <w:p>
      <w:r>
        <w:t>IT: DTF 90 II 269</w:t>
      </w:r>
    </w:p>
    <w:p>
      <w:pPr>
        <w:pStyle w:val="Heading2"/>
      </w:pPr>
      <w:r>
        <w:t>Regeste</w:t>
      </w:r>
    </w:p>
    <w:p>
      <w:r>
        <w:t>Regeste Vaterschaftsklage 1. Bei unzüchtigem Lebenswandel der Mutter im Sinne von Art. 315 ZGB sind die Klagparteien zum Nachweis zuzulassen, das Kind stamme vom Beklagten ab (Bestätigung der Rechtsprechung). 2. Dieser positive Beweis der Vaterschaft kann durch ein anthropologisch-erbbiologisches Gutachten erbracht werden, auf dessen Durchführung die Parteien einen bundesrechtlichen Anspruch haben (Bestätigung der Rechtsprechung).</w:t>
      </w:r>
    </w:p>
    <w:p>
      <w:r>
        <w:t>Regeste Action en paternité 1. L'inconduite de la mère au sens de l'art. 315 CC n'empêche pas les parties demanderesses de prouver que l'enfant est issu des oeuvres du défendeur (confirmation de jurisprudence). 2. Cette preuve positive de la paternité peut être apportée au moyen d'une expertise anthropobiologique, dont les parties sont fondées à exiger l'exécution en vertu du droit fédéral (confirmation de jurisprudence).</w:t>
      </w:r>
    </w:p>
    <w:p>
      <w:r>
        <w:t>Regesto Azione di paternità 1. In caso di condotta scostumata della madre nel senso dell'art. 315 CC, le parti attrici devono essere nondimeno ammesse a produrre la prova che l'infante è stato generato dal convenuto (conferma della giurisprudenza). 2. Questa prova positiva della paternità può essere apportata mediante una perizia antropobiologica, alla cui esecuzione le parti hanno diritto in virtù del diritto federale (conferma della giurisprudenza).</w:t>
      </w:r>
    </w:p>
    <w:p>
      <w:pPr>
        <w:pStyle w:val="Heading2"/>
      </w:pPr>
      <w:r>
        <w:t>Erwägungen</w:t>
      </w:r>
    </w:p>
    <w:p>
      <w:r>
        <w:rPr>
          <w:b/>
        </w:rPr>
        <w:t>E. 1</w:t>
      </w:r>
    </w:p>
    <w:p>
      <w:r>
        <w:t>Ein unzüchtiger Lebenswandel gemäss Art. 315 ZGB liegt nach der Praxis des Bundesgerichtes dann vor, wenn sich die Kindsmutter um die Zeit der Empfängnis in sexueller Beziehung gewohnheitsmässig so hemmungslos zeigte, dass sich der Verdacht aufdrängt, sie habe nicht nur mit dem Beklagten - und allenfalls im Prozessverfahren genannten Dritten -, sondern auch noch mit unbekannten weitern Männern Umgang gehabt (vgl. BGE 89 II 275 /276; BGE 82 II 270 /271; BGE 79 II 26 /27 und dort zitierte Entscheide). Diese Voraussetzungen sind im vorliegenden Fall erfüllt. Die Kindsmutter hat sich einige Tage vor dem 3. März 1960, dem mutmasslichen Zeitpunkt der Empfängnis, von zwei ihr nicht näher bekannten Männern einladen lassen, zur Ausübung des Geschlechtsverkehrs auf deren Zimmer zu kommen. Die Annahme BGE 90 II 269 S. 272 dieser Einladung und die der Einladung vom 17. Februar 1960 folgenden Ereignisse - mehrmalige Hingabe an den Beklagten und dessen zwei Zimmergenossen unter den von der Vorinstanz festgestellten Umständen - beweisen eine sittliche Verwahrlosung der Erstklägerin und rechtfertigen den Schluss, sie habe um die Zeit der Empfängnis einen unzüchtigen Lebenswandel geführt. Bei der grossen Leichtfertigkeit der Kindsmutter in geschlechtlichen Dingen scheint es wahrscheinlich, dass es bei den nachgewiesenen intimen Verhältnissen vor, in und nach der kritischen Zeit zu 5 verschiedenen Insassen des Lagers A. nicht geblieben ist und sie sich, trotz vorübergehender Bindung an den Beklagten, noch unbekannt gebliebenen Dritten hingegeben hat, die als Erzeuger des Kindes ebenfalls in Frage kommen.</w:t>
      </w:r>
    </w:p>
    <w:p>
      <w:r>
        <w:rPr>
          <w:b/>
        </w:rPr>
        <w:t>E. 2</w:t>
      </w:r>
    </w:p>
    <w:p>
      <w:r>
        <w:t>Der unzüchtige Lebenswandel der Kindsmutter im Sinne von Art. 315 ZGB führt jedoch nur dann zur Klageabweisung, wenn die Klägerinnen nicht den positiven Nachweis der Vaterschaft des Beklagten durch ein anthropologisch-erbbiologisches Gutachten zu erbringen vermögen (s. BGE 89 II 273 f.; SCYBOZ, JdT 1962, 206; MERZ, ZBJV 100 [1964], 443 und 444). Art. 315 ZGB bezweckt, die Vaterschaftsklage in all den Fällen auszuschliessen, in denen die Abstammung des Kindes zufolge unzüchtigen Lebenswandels der Kindsmutter nicht in zuverlässiger Weise festgestellt werden kann (EGGER, Kommentar, N. 2 zu Art. 315 ZGB ; SILBERNAGEL, Kommentar, N. 7 zu Art. 315 ZGB ; ROSSEL u. MENTHA, Manuel I, 477/478; BGE 39 II 14 E 3, BGE 39 II 492 , BGE 39 II 687 /688, BGE 44 II 26 , BGE 79 II 26 , BGE 89 II 273 f. insbes. È 2). Ein pönales Moment fehlt dem Art. 315 ZGB im Gegensatz zu einer Reihe analoger Bestimmungen der alten kantonalen Rechtsordnungen; sein Grund ist nicht in einer moralischen Missbilligung der Kindsmutter zu erblicken (SILBERNAGEL, Kommentar, N. 6 und 7 zu Art. 315 ZGB ; BGE 39 II 14 E 3). Von dieser Zweckbestimmung des Gesetzgebers ausgehend, kam der Wirkung, BGE 90 II 269 S. 273 die an den unzüchtigen Lebenswandel geknüpft wurde - dem Ausschluss der Klage nämlich -, solange absolute Geltung zu, als ein positiver Nachweis der Vaterschaft praktisch unmöglich war. Das traf zur Zeit des Inkrafttretens des ZGB und in den darauf folgenden Jahrzehnten zu (vgl. BGE 44 II 26 ). Die seit BGE 87 II 65 f. anerkannte Möglichkeit, mittels eines anthropologischerbbiologischen Gutachtens positiv und mit an Sicherheit grenzender Wahrscheinlichkeit die Vaterschaft nachzuweisen, stellt jedoch die bisherige Auslegung von Art. 315 ZGB in Frage. Angenommen, man würde wie bisher bei unzüchtigem Lebenswandel der Kindsmutter die Vaterschaftsansprüche - in Anlehnung an den Wortlaut des Art. 315 ZGB - abweisen, so käme dies dort, wo der positive Nachweis der Vaterschaft des Beklagten erbracht ist oder erbracht werden kann, einer Bestrafung der Mutter für ihren Lebenswandel gleich, wobei die Strafe ebenso hart das völlig unschuldige Kind treffen würde. Dem Art. 315 ZGB ist jedoch sein ursprünglicher Zweck zu erhalten und die allgemeine Bestimmung, wonach bei unzüchtigem Lebenswandel die Klage abzuweisen ist, durch eine Ausnahmeregel zu ergänzen, in welcher der positive Nachweis der Abstammung des Kindes vom Beklagten vorbehalten wird.</w:t>
      </w:r>
    </w:p>
    <w:p>
      <w:r>
        <w:rPr>
          <w:b/>
        </w:rPr>
        <w:t>E. 3</w:t>
      </w:r>
    </w:p>
    <w:p>
      <w:r>
        <w:t>Diesen positiven Nachweis wollen die Klägerinnen mit dem von ihnen beantragten anthropologisch-erbbiologischen Gutachten erbringen. Das Obergericht hat ihren Antrag zu Unrecht abgelehnt. Auf dieses Beweismittel haben sie einen bundesrechtlichen Anspruch (vgl. BGE 90 II 224 /25). Prozessuale oder materiellrechtliche Schranken stehen dem Anspruch nicht entgegen. Bevor das anthropologisch-erbbiologische Gutachten durchgeführt wird, ist jedoch eine Blutgruppenbestimmung vorzunehmen, zu deren Anordnung bis heute noch kein Anlass bestand. Diese Bestimmung kann unter Umständen rascher und mit weniger Kosten eine endgültige Beurteilung der vorliegenden Vaterschaftssache ermöglichen: BGE 90 II 269 S. 274 Wird nämlich der Beklagte als Vater der Zweitklägerin ausgeschlossen, so ist die Klage abzuweisen; das anthropologisch-erbbiologische Gutachten wäre vom Richter zu verwerfen, da es das bereits feststehende Beweisergebnis nicht zu ändern vermöchte. Erfolgt kein Ausschluss des Beklagten durch Blutgruppenbestimmung, so sind die Klägerinnen zum positiven Nachweis zuzulassen, dass die Zweitklägerin vom Beklagten abstamme. Dieser Nachweis ist aber erst dann erbracht, wenn die Abstammung mit an Sicherheit grenzender Wahrscheinlichkeit bejaht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