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108</w:t>
      </w:r>
    </w:p>
    <w:p>
      <w:r>
        <w:t>Bundesgericht (BGE), 1964-01-01, FR</w:t>
      </w:r>
    </w:p>
    <w:p>
      <w:r>
        <w:rPr>
          <w:b/>
        </w:rPr>
        <w:t xml:space="preserve">Quelle: </w:t>
      </w:r>
      <w:r>
        <w:t>https://mcp.opencaselaw.ch/entscheid/bge_BGE_90_II_108</w:t>
      </w:r>
    </w:p>
    <w:p>
      <w:r>
        <w:t>FR: ATF 90 II 108</w:t>
      </w:r>
    </w:p>
    <w:p>
      <w:r>
        <w:t>IT: DTF 90 II 108</w:t>
      </w:r>
    </w:p>
    <w:p>
      <w:pPr>
        <w:pStyle w:val="Heading2"/>
      </w:pPr>
      <w:r>
        <w:t>Regeste</w:t>
      </w:r>
    </w:p>
    <w:p>
      <w:r>
        <w:t>Regeste In Frankreich gezeichnete, in der Schweiz zahlbare Wechsel. Betreibung des Indossatars gegen den Akzeptanten. Zahlung an den Konkursrichter. Verarrestierung der einbezahlten Summe und Erhebung der betreibungsrechtlichen Rückforderungsklage in de Schweiz. 1. Internationale Zuständigkeit. Art. 1, 2bis und 11 des Gerichtsstandsvertrag zwischen der Schweiz und Frankreich vom 15. Juni 1869. Der Richter hat seine örtliche Zuständigkeit von Amtes wegen zu prüfen (Erw. 1). Die Klage aus Art. 87 und 187 SchKG kann, auch bei Wohnsitz des Beklagten in Frankreich, am Gerichtsstand der Betreibung erhoben werden, die zu der streitigen Zahlung Anlass gegeben hat (Erw. 2). Art. 2bis des Staatsvertrages und die Vollziehungsverordnung des Bundesgerichts vom 29. Juni 1936 betreffen nur die Forderungen, wegen deren der Prozess in der Sache selbst beim natürlichen Richter des Beklagten in Frankreich anhängig gemacht werden muss (Erw. 3). 2. Zahlung, Art. 187 SchKG. Die Zahlung an den Konkursrichter ist derjenigen an das Betreibungsamt (Art. 12 SchKG) gleichzustellen und befreit den Schuldner. Dieser kann im Hinblick auf die Rückforderungsklage die bezahlte Summe verarrestieren lassen (Erw. 5). 3. Bestehen einer Wechselschuld. a) Anwendbares Recht in Bezug auf die betreibungsrechtliche Rückforderungsklage, auf die Form von Wechselverpflichtungen und auf die Wirkungen der Verpflichtungen des Akzeptanten. Art. 1087 Abs. 1, 1090 Abs. 1 OR (Erw. 6). b) Unterschrift des Ausstellers (Art. 110 des französischen Handelsgesetzbuchs, Art. 991 und 992 OR). Geschäftsführer einer französischen GmbH, der als Vertreter der Gesellschaft handelt (Erw. 8). c) Einreden aus den unmittelbaren Beziehungen zwischen dem Inhaber und dem aus dem Wechsel in Anspruch Genommenen (Erw. 9). 4. Anwendung des ausländischen Rechtes durch die Berufungsinstanz, Art. 65 OG (Erw. 7).</w:t>
      </w:r>
    </w:p>
    <w:p>
      <w:r>
        <w:t>Regeste Lettres de change souscrites en France et payables en Suisse. Poursuite de l'endossataire dirigée contre l'accepteur. Paiement en mains du greffe du juge de la faillite. Séquestre de la somme versée et action en répétition de l'indu intentée en Suisse. 1. Compétence internationale. Art. 1er, 2 bis et 11 de la convention franco-suisse du 15 juin 1869. Le juge examine d'office sa compétence ratione loci (consid. 1). L'action fondée sur les art. 86 ou 187 LP peut être intentée au for de la poursuite qui a provoqué le paiement litigieux même si le défendeur est domicilié en France (consid. 2). L'art. 2 bis de la convention et l'ordonnance d'exécution du Tribunal fédéral du 29 juin 1936 ne concernent que les créances au sujet desquelles le procès au fond doit être porté devant le juge naturel du défendeur en France (consid. 3). 2. Paiement, art. 187 LP. Le versement opéré en mains du greffe du juge de la faillite est assimilable à ceux qui sont effectués à l'office des poursuites (art. 12 LP) et constitue un paiement qui libère le débiteur. Celui-ci peut séquestrer la somme payée en vue de la répétition de l'indu (consid. 5). 3. Existence d'une dette cambiaire. a) Droit applicable à l'action en répétition de l'indu, à la forme des engagements de change souscrits et aux effets de l'obligation de l'accepteur. Art. 1087 al. 1 et 1090 al. 1 CO (consid. 6). b) Signature du tireur (art. 110 du code de commerce français, 991 et 992 CO). Gérant d'une société à responsabilité limitée française agissant comme représentant de la société (consid. 8) c) Exceptions fondées sur les rapports personnels existant entre le porteur et la personne actionnée en vertu de la lettre de change (consid. 9). 4. Application du droit étranger par la cour de réforme. Art. 65 OJ (consid. 7).</w:t>
      </w:r>
    </w:p>
    <w:p>
      <w:r>
        <w:t>Regesto Cambiali sottoscritte in Francia e pagabili in Svizzera. Esecuzione del giratario diretta contro l'accettante. Pagamento nelle mani della cancelleria del giudice del fallimento. Sequestro della somma versata e azione per la ripetizione dell'indebito promossa in Svizzera. 1. Competenza internazionale. Art. 1, 2 bis e 11 della convenzione tra la Francia e la Svizzera del 15 giugno 1869. Il giudice esamina d'ufficio la sua competenza ratione loci (consid. 1). L'azione fondata sugli art. 86 o 187 LEF può essere promossa al foro dell'esecuzione che ha provocato il pagamento litigioso anche se il convenuto è domiciliato in Francia (consid. 2). L'art. 2 bis della convenzione e l'ordinanza d'esecuzione del Tribunale federale del 29 giugno 1936 concernono soltanto i crediti per i quali l'azione di riconoscimento deve essere promossa davanti al giudice naturale del convenuto in Francia (consid. 3). 2. Pagamento, art. 187 LEF. Il versamento effettuato nelle mani della cancelleria del giudice del fallimento è parificabile a quelli fatti all'ufficio d'esecuzione (art. 12 LEF) e costituisce un pagamento che libera il debitore. Questo può sequestrare la somma pagata in vista della ripetizione dell'indebito (consid. 5). 3. Esistenza di un debito cambiario. a) Diritto applicabile all'azione di ripetizione dell'indebito, alla forma degli obblighi cambiari sottoscritti e agli effetti degli obblighi dell'accettante. Art. 1087 cpv. 1 e 1090 cpv. 1 CO (consid. 6). b) Firma del traente (art. 110 del codice di commercio francese, 991 e 992 CO). Gerente di una società francese a garanzia limitata agente come rappresentante della società (consid. 8). c) Eccezioni fondate sui rapporti personali esistenti tra il portatore e la persona contro la quale è promossa azione cambiaria (consid. 9). 4. Applicazione del diritto straniero da parte della corte di riforma. Art. 65 OG (consid. 7).</w:t>
      </w:r>
    </w:p>
    <w:p>
      <w:pPr>
        <w:pStyle w:val="Heading2"/>
      </w:pPr>
      <w:r>
        <w:t>Erwägungen</w:t>
      </w:r>
    </w:p>
    <w:p>
      <w:r>
        <w:rPr>
          <w:b/>
        </w:rPr>
        <w:t>E. 1</w:t>
      </w:r>
    </w:p>
    <w:p>
      <w:r>
        <w:t>- La défenderesse et intimée est domiciliée en France. De par l'art. 11 de la convention du 15 juin 1869 entre la BGE 90 II 108 S. 114 Suisse et la France sur la compétence judiciaire et l'exécution des jugements en matière civile, le juge suisse, à quelque degré de juridiction qu'il statue, doit renvoyer d'office les parties, même en l'absence du défendeur, devant le juge compétent; le traité international est assimilé au droit fédéral (art. 43 al. 1 OJ). Il n'y a pas en l'espèce élection de domicile au sens de l'art. 3, faute d'une entente formelle entre les parties, et la défenderesse a soulevé l'exception d'incompétence avant de discuter le fond du litige (cf. le protocole explicatif, RS 12, p. 323/324; RO 80 III 155/156 et 49 I 204, et les citations).</w:t>
      </w:r>
    </w:p>
    <w:p>
      <w:r>
        <w:rPr>
          <w:b/>
        </w:rPr>
        <w:t>E. 2</w:t>
      </w:r>
    </w:p>
    <w:p>
      <w:r>
        <w:t>Dans les contestations en matière mobilière et personnelle, civile ou de commerce, qui s'élèvent entre Suisses et Français, le demandeur est tenu de poursuivre son action devant les juges naturels du défendeur (art. 1er de la convention). Cette règle vise aussi les personnes morales (RO 41 I 209 ; 48 I 90 ; 80 III 157 ). Elle se fonde sur la nature juridique de la demande, que celle-ci soit intentée en vue de valider un séquestre ou non (art. 278 LP; RO 80 III 158/160). Il s'ensuit que le recourant devait en principe saisir le juge français, son action étant personnelle. Ce principe souffre toutefois des exceptions. La demande vise en l'espèce la répétition d'une somme payée à tort après une opposition déclarée non recevable (art. 187 LP). Ce droit s'exerce conformément à l'art. 86 LP. L'action devait donc être introduite au for de la poursuite qui a provoqué le paiement litigieux ou à celui du défendeur, au choix du demandeur (art. 86 al. 2 LP). Selon une jurisprudence constante (RO 21, p. 723 consid. 6 ; 34 I 351 ; 53 I 153 sv.), le premier for n'est point exclu par la convention de 1869, même à l'égard d'un défendeur français domicilié en France. L'action en effet n'est pas tant une démarche indépendante du demandeur qu'un moyen de défense, lié au système suisse de la poursuite, dont dispose le débiteur soumis à l'exécution forcée. Vu BGE 90 II 108 S. 115 cette connexité, la nature personnelle du litige paraît secondaire du point de vue du for (par le même motif, une dérogation s'impose, le cas échéant, pour la demande reconventionnelle: RO 34 I 772 et les citations). Certes, pour que l'exception tirée du traité soit vaine, il faut encore que l'action fondée sur l'art. 86 ou 187 LP tende au but spécial visé par ces dispositions du droit de poursuite. Celles-ci veulent éviter au débiteur le préjudice résultant d'un paiement effectué sans que la dette ait été constatée par un jugement définitif rendu en la procédure ordinaire. Dans le cas contraire, l'autorité de la chose jugée exerce ses effets et l'action n'est encore concevable que si elle se fonde sur des faits postérieurs au jugement, propres à établir que la dette judiciairement constatée est éteinte (RO 31 II 158 sv., en particulier consid. 6), ou si elle tend à prouver que la poursuite a porté sur une somme supérieure à celle qui était due. Comme la créance litigieuse n'a pas été l'objet d'un procès, l'action du droit de poursuite peut être intentée et, dès lors, l'autorité suisse est compétente.</w:t>
      </w:r>
    </w:p>
    <w:p>
      <w:r>
        <w:rPr>
          <w:b/>
        </w:rPr>
        <w:t>E. 3</w:t>
      </w:r>
    </w:p>
    <w:p>
      <w:r>
        <w:t>Le débat soulevé par l'intimée à propos du for est en dehors de la question. L'art. 2 bis de la convention de 1869, introduit par l'acte additionnel du 4 octobre 1935, n'a pas étendu la garantie du juge du domicile au-delà de ce qui est prévu à l'article premier (RO 80 III 157/158); il l'a restreinte, mais uniquement en ce qui concerne les mesures provisoires et conservatoires, sans viser la juridiction compétente pour connaître du fond (Message du Conseil fédéral, FF 1936 I 711). S'il mettait fin à une incertitude (cf. RO 41 I 208 sv., consid. 2 ; 33 I 791 sv., consid. 2; KOUTAISSOFF, Des mesures provisionnelles et du séquestre dans les relations franco-suisses, RSJ 34, p. 56 sv.), son application exigeait en revanche des mesures d'exécution, que le Tribunal fédéral a prises le 29 juin 1936. Pour sauvegarder le droit au for naturel prévu par la convention, l'ordonnance édictée déroge à l'art. 278 LP, BGE 90 II 108 S. 116 indique le seul moyen de valider le séquestre et détermine la durée du délai qui doit être respecté. A moins que le procès ne soit déjà introduit, le créancier doit intenter une action en reconnaissance de la dette devant le juge naturel du défendeur en France dans les 30 jours de la réception du procès-verbal de séquestre (RO 74 III 15/16; FF 1936 I 711/712). Cette règle ne s'applique toutefois, aux termes mêmes de l'art. 1er de l'ordonnance, que "lorsqu'un séquestre a été ordonné et exécuté contre un Français domicilié en France pour une créance au sujet de laquelle le procès au fond doit être porté devant le juge naturel du défendeur en France". Or tel n'est pas le cas en l'espèce, puisque, en vertu des dispositions légales qui règlent la présente action, le juge suisse est compétent (consid. 2).</w:t>
      </w:r>
    </w:p>
    <w:p>
      <w:r>
        <w:rPr>
          <w:b/>
        </w:rPr>
        <w:t>E. 4</w:t>
      </w:r>
    </w:p>
    <w:p>
      <w:r>
        <w:t>La défenderesse et intimée soulève, en relation avec l'art. 2 bis de la convention et l'ordonnance du Tribunal fédéral - inapplicables (consid. 3) -, une question dont elle fait l'objet de la demande reconventionnelle tendant à ce que le juge constate la caducité du second séquestre et d'une conclusion du recours joint qui vise le même but. Comme la Cour de céans va confirmer le rejet de l'action, la demande et le recours joint deviennent sans objet sur ce point. Les effets du séquestre cessent de plein droit lorsque le créancier est débouté de son action (art. 278 al. 4 LP; RO 66 III 59).</w:t>
      </w:r>
    </w:p>
    <w:p>
      <w:r>
        <w:rPr>
          <w:b/>
        </w:rPr>
        <w:t>E. 5</w:t>
      </w:r>
    </w:p>
    <w:p>
      <w:r>
        <w:t>L'action fondée sur l'art. 187 LP suppose un paiement. L'intimée conteste que le recourant ait payé sa dette de change. Le juge de la faillite, en revanche, a estimé qu'il avait justifié par titre que la créance avait été acquittée en capital, intérêts et frais (art. 172 ch. 3 LP). En fait, l'opposant s'était dessaisi en faveur du greffe du tribunal d'une somme de 35 000 fr., virée finalement sur un compte de consignation à la recette d'Etat (art. 182 ch. 4 LP). Le dépôt, qui est un paiement conditionnel jusqu'à droit connu (RO 42 III 364) et doit pouvoir être affecté immédiatement à l'exécution de l'obligation, avait BGE 90 II 108 S. 117 été effectué à juste titre en mains du juge de l'opposition (JAEGER, n. 13 ad art. 182 LP). Il ne pouvait être restitué que si l'opposition était admise et pour autant que la créancière n'intentait pas action dans les dix jours (art. 184 al. 2 LP). L'opposition a été déclarée irrecevable le 14 avril 1962. Le 30 avril, le débiteur et recourant pria le juge de la faillite de déconsigner le montant déposé et de l'affecter au paiement (cf. réponse au recours p. 7, act.11); il versa en outre un solde de 166 fr. Le 2 mai, le juge donna l'ordre de virer la somme consignée au compte de chèque postal de son greffe. Ce jour-là au plus tard, le recourant avait renoncé consciemment à son droit de disposer au profit du créancier, qui seul pouvait s'approprier la somme nécessaire au paiement des effets. Le débiteur s'était donc valablement libéré, mais selon un mode de droit public propre à l'exécution forcée (BECKER, n. 9 des remarques préliminaires ad art. 68 à 96 CO). Il s'exécutait sous la contrainte, mais avait l'animus solvendi; simplement, il se réservait de revenir à la charge parce qu'il estimait ne rien devoir. Dans ces circonstances, le paiement est assimilable à ceux qui sont effectués à l'office des poursuites, sont considérés comme faits au créancier poursuivant et libèrent le débiteur (art. 12 LP; RO 83 III 99 sv.). On ne saurait objecter, en raison du séquestre immédiat de la somme virée, que donner et retenir ne vaut, car la jurisprudence n'interdit pas au débiteur de séquestrer - en vue de la répétition de l'indu - la somme en poursuite payée par lui à l'office (RO 58 III 32 sv.).</w:t>
      </w:r>
    </w:p>
    <w:p>
      <w:r>
        <w:rPr>
          <w:b/>
        </w:rPr>
        <w:t>E. 6</w:t>
      </w:r>
    </w:p>
    <w:p>
      <w:r>
        <w:t>La somme que le recourant prétend répéter a été payée en exécution d'obligations fondées sur deux lettres de change. Elle était due si l'intimée possédait des créances cambiaires. Pour le savoir, il convient de rechercher d'abord quel est le droit applicable. Les parties, en effet, n'ont pas choisi le droit suisse, car la défenderesse a invoqué aussi la loi française. Les règles de conflits du BGE 90 II 108 S. 118 droit de change sont pertinentes (lex causae: RO 78 II 389), mais non pas celle de l'art 1093 CO, qui vise uniquement l'hypothèse de l'art. 1052 CO. a) Aux termes de l'art. 1087 al. 1 CO (qui est une règle droit international privé uniforme: art. 3 al. 1 de la deuxième convention de Genève du 7 juin 1930), la forme des engagements pris en matière de lettre de change est réglée par la loi du pays sur le territoire duquel ces engagements ont été souscrits; locus regit actum. La forme s'entend ici dans un sens large, qui vise notamment les énonciations nécessaires à la validité de la traite, la représentation des parties et l'existence d'une lettre en blanc, incomplète à l'émission (ARMINJON ET CARRY, Lettre de change et billet à ordre, nos 406 et 407, p. 462/464; BAUMBACH/HEFERMEHL, Wechselgesetz und Scheckgesetz, 7e éd., 1962, n. 1 ad art. 92 Wechselgesetz). Le lieu déterminant est celui où l'engagement a été réellement souscrit (BAUMBACH/HEFERMEHL, loc.cit.; JACOBI, Wechsel- und Scheckrecht, p. 1013; en revanche, un lieu de création fictif n'invalide pas l'effet). Le jugement attaqué se borne à constater que le recourant accepta les traites le jour de la vente et que Bailly devait apposer le timbre humide dans son bureau. A en croire la demande et le procès-verbal de l'interpellation de l'acceptant (pièces 10 et 35 du dossier cantonal), l'acceptation fut signée sur le chantier du Comptoir des bois du Cher ou dans un café (voisin?). L'intimée ayant simplement répondu qu'elle ignorait comment traitaient le vendeur et l'acheteur, on peut raisonnablement admettre que le tireur a signé en France. Le droit français est donc applicable à la forme des lettres de change. b) Les effets des obligations de l'accepteur sont déterminés en revanche par la loi du lieu où le titre est payable (art. 1090 al. 1 CO; art. 4 de la convention précitée). En l'espèce, les traites étaient payables à Porrentruy, à la Banque cantonale bernoise. Le droit suisse s'applique donc aux effets de l'acceptation du tiré; il règle par conséquent BGE 90 II 108 S. 119 les moyens (notamment les exceptions) que ce dernier ne tire pas de la forme au sens large (cf. HUPKA, Das einheitliche Wechselrecht der Genfer Verträge, p. 254; MOSSA, Trattato della cambiale, 3e éd., 1956, p. 697; BAUMBACH/HEFERMEHL, op.cit., n. 1 ad art. 93 Wechselgesetz).</w:t>
      </w:r>
    </w:p>
    <w:p>
      <w:r>
        <w:rPr>
          <w:b/>
        </w:rPr>
        <w:t>E. 7</w:t>
      </w:r>
    </w:p>
    <w:p>
      <w:r>
        <w:t>La Cour cantonale a appliqué le droit suisse à l'ensemble du litige. En principe, sa décision devrait être annulée et la cause lui être renvoyée pour qu'elle statue selon le droit français dans la mesure où celui-ci est applicable. Peu importe que la loi étrangère soit identique à la loi interne, comme le prétend l'intimée. Si le litige devait être jugé exclusivement en vertu du droit étranger, le recours en réforme serait ainsi liquidé (art. 60 al. 1 litt. c OJ; RO 87 II 274; 84 II 604 consid. 1; 79 II 72 consid. 5; 71 II 228 ). En l'espèce toutefois, le droit étranger et le droit suisse s'appliquent tous deux. De par l'art. 65 OJ, il est loisible au Tribunal fédéral d'appliquer lui-même le droit étranger, car la Cour cantonale n'en a tenu aucun compte (RO 73 II 139 consid. 2; 76 II 11 consid. 3). Il dispose des éléments d'information nécessaires pour le faire correctement, vu notamment l'insertion de la loi uniforme dans les droits suisse et français (RO 76 III 64). Au surplus, si la cause lui était renvoyée, la Cour cantonale arriverait certainement au même résultat que le jugement attaqué (RO 87 II 202, 274/275).</w:t>
      </w:r>
    </w:p>
    <w:p>
      <w:r>
        <w:rPr>
          <w:b/>
        </w:rPr>
        <w:t>E. 8</w:t>
      </w:r>
    </w:p>
    <w:p>
      <w:r>
        <w:t>L'art. 110 du code de commerce français reproduit exactement, comme les art. 991 et 992 CO, les art. 1er et 2 de la loi uniforme concernant la lettre de change et le billet à ordre du 7 juin 1930. La première doit contenir la signature du tireur qui l'émet (al. 1 ch. 8). En l'espèce, la signature de Bailly figure au bas des traites (JACOBI, op.cit., p. 235; ARMINJON ET CARRY, op.cit., p. 237). Dûment souscrits par un tireur possible et capable, les titres étaient valides en la forme dès leur émission, car quiconque appose sa signature comme BGE 90 II 108 S. 120 représentant sans pouvoir ou dépasse ses pouvoirs est obligé lui-même (art. 114 al. 3 du code de commerce français; art. 998 CO; voir, outre les auteurs déjà cités, CAEMMERER, International Rechtsprechung zum Genfer einheitlichen Wechsel- und Schreckrecht, ad art. 8, Italie, n. 3; PERCEROU ET BOUTHERON, La nouvelle législation française et internationale de la lettre de change, du billet à ordre et du chèque, vol. 1, no 28). Complètes à l'émission, les lettres n'étaient pas en blanc et l'art. 10 de la loi uniforme (art. 1000 CO) ne s'applique pas. Autre chose est de savoir, d'après le droit civil (JACOBI, op.cit., p. 238; HUPKA, op.cit., p. 27 sv.), si Bailly s'est obligé lui-même ou a engagé le Comptoir des bois du Cher. En premier lieu, la collation d'un pouvoir de représentation est essentielle en droit français comme en droit suisse (cf. RO 88 II 194 consid. 3 et 4). Il est constant que le gérant Bailly avait le pouvoir de souscrire une obligation cambiaire, de par les statuts du Comptoir (faits, sous A, au début) et selon la loi française du 7 mars 1925 tendant à instituer des sociétés à responsabilité limitée; sauf stipulation contraire des statuts, le gérant a tous les pouvoirs pour agir au nom de la société, en toutes circonstances; toute limitation contractuelle est sans effet à l'égard des tiers (art. 24 al. 2). Quant à l'usage du pouvoir de représentation, la Cour cantonale admet que Bailly, en signant, entendait diriger les effets du rapport juridique sur la société représentée et que, de plus, il l'a manifesté aux intéressés, qui savaient tous que le Comptoir était le tireur. Les documents eux-mêmes imposent ces conclusions; les traites sont en effet établies sur des formules et celles-ci portent l'en-tête du Comptoir, avec toutes les indications utiles qui le concernent; cette façon, non de signer (cf. art. 14 al. 2 CO), mais d'indiquer le rapport de représentation est admissible (LESCOT ET ROBLOT, Les effets de commerce, 1er vol., p. 207, note 4; MOSSA, op.cit., p. 298, note 153). L'intimée enfin, lors de l'escompte, a crédité la société, non son gérant. Il suit de là que la BGE 90 II 108 S. 121 première était obligée par la lettre de change, non le second.</w:t>
      </w:r>
    </w:p>
    <w:p>
      <w:r>
        <w:rPr>
          <w:b/>
        </w:rPr>
        <w:t>E. 9</w:t>
      </w:r>
    </w:p>
    <w:p>
      <w:r>
        <w:t>Les personnes actionnées en vertu de la lettre de change ne peuvent opposer au porteur les exceptions fondées sur leurs rapports personnels avec le tireur que si le porteur, en acquérant la lettre, a agi sciemment au détriment du débiteur (art. 1007 CO; cf. consid. 6 b). Le recourant reproche d'abord à l'intimée d'avoir escompté le titre signé par Bailly, bien qu'il sût que le tireur était le Comptoir des bois du Cher. De ce point de vue, il n'a subi aucun détriment, car l'intimée a précisément compris la situation comme lui-même se la représente et a crédité le Comptoir (consid. 8 in fine). Le recourant subit en revanche un dommage en raison de l'inexécution du contrat de vente. Mais la Cour cantonale constate souverainement (art. 63 al. 2 OJ) que l'intimée n'avait aucune raison d'admettre, jusqu'à la faillite du Comptoir, que la vente ne serait pas exécutée. Etant ainsi de bonne foi, la banque endossataire n'a pas à répondre de la faute contractuelle de son client, le tireur. 10. - (Recours joint).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