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99</w:t>
      </w:r>
    </w:p>
    <w:p>
      <w:r>
        <w:t>Bundesgericht (BGE), 1964-01-01, FR</w:t>
      </w:r>
    </w:p>
    <w:p>
      <w:r>
        <w:rPr>
          <w:b/>
        </w:rPr>
        <w:t xml:space="preserve">Quelle: </w:t>
      </w:r>
      <w:r>
        <w:t>https://mcp.opencaselaw.ch/entscheid/bge_BGE_90_III_99</w:t>
      </w:r>
    </w:p>
    <w:p>
      <w:r>
        <w:t>FR: ATF 90 III 99</w:t>
      </w:r>
    </w:p>
    <w:p>
      <w:r>
        <w:t>IT: DTF 90 III 99</w:t>
      </w:r>
    </w:p>
    <w:p>
      <w:pPr>
        <w:pStyle w:val="Heading2"/>
      </w:pPr>
      <w:r>
        <w:t>Regeste</w:t>
      </w:r>
    </w:p>
    <w:p>
      <w:r>
        <w:t>Regeste Betreibung für Miet- und Pachtzinse. Retentionsrecht. 1. Will der Schuldner das Retentionsrecht des Vermieters bestreiten, so hat er Rechtsvorschlag zu erheben. Will er dagegen die Pfändbarkeit der in der Retentionsurkunde verzeichneten Gegenstände bestreiten, so hat er den Beschwerdeweg zu beschreiten (Bestätigung der Rechtsprechung; Erw. 1). 2. Ein Widerspruchsverfahren nach Art. 106/7 SchKG kann zwischen dem das Retentionsrecht des Vermieters ausübenden Gläubiger und dem Schuldner nicht stat finden. Eine dennoch dem Gläubiger angesetzte Frist zur Anhebung einer solchen Klage ist jederzeit von Amtes wegen als nichtig zu betrachten (Erw. 2 und 3). 3. Das Beschwerdeverfahren ist unentgeltlich (Erw. 4).</w:t>
      </w:r>
    </w:p>
    <w:p>
      <w:r>
        <w:t>Regeste Poursuite pour loyers et fermages; droit de rétention. 1. Le débiteur qui entend contester le droit de rétention du bailleur doit agir par la voie de l'opposition; s'il conteste la saisissabilité des objets portés à l'inventaire, il déposera une plainte à l'autorité de surveillance (confirmation de jurisprudence; consid. 1). 2. La procédure de revendication des art. 106 et 107 LP n'est pas applicable dans les relations entre le créancier qui invoque le droit de rétention du bailleur et son débiteur; le délai pour intenter une action en revendication fixé au mépris de cette règle est un acte frappé d'une nullité qui doit être constatée d'office, en tout temps (consid. 2 et 3). 3. Gratuité de la procédure de plainte (consid. 4).</w:t>
      </w:r>
    </w:p>
    <w:p>
      <w:r>
        <w:t>Regesto Esecuzione per pigioni e affitti; diritto di ritenzione. 1. Il debitore che intende contestare il diritto di ritenzione del locatore deve agire in via d'opposizione; se contesta la pignorabilità degli oggetti iscritti nell'inventario, deve presentare reclamo all'autorità di vigilanza (conferma della giurisprudenza; consid. 1). 2. La procedura di rivendicazione di cui agli art. 106 e 107 LEF non è applicabile nelle relazioni tra il creditore che invoca il diritto di ritenzione del locatore e il suo debitore; il termine per promuovere azione di rivendicazione, fissato ad onta di questa regola, è un atto la cui nullità dev'essere costatata d'ufficio, in ogni tempo (consid. 2 e 3). 3. Gratuità della procedura di reclamo (consid. 4).</w:t>
      </w:r>
    </w:p>
    <w:p>
      <w:pPr>
        <w:pStyle w:val="Heading2"/>
      </w:pPr>
      <w:r>
        <w:t>Erwägungen</w:t>
      </w:r>
    </w:p>
    <w:p>
      <w:r>
        <w:rPr>
          <w:b/>
        </w:rPr>
        <w:t>E. 1</w:t>
      </w:r>
    </w:p>
    <w:p>
      <w:r>
        <w:t>Le recourant prétend qu'en s'abstenant de contester le droit de rétention dans les dix jours qui ont suivi la notification de la poursuite, le débiteur aurait rendu ce droit définitif à son égard. Assurément, le débiteur poursuivi selon les art. 282 ss. LP pour un loyer ou un fermage, qui entend contester le droit de rétention, doit faire valoir ses moyens par la voie de l'opposition, à défaut de quoi il est censé reconnaître le droit allégué par son créancier (RO 59 III 10, 83 III 36). Toutefois, s'il conteste non pas le droit de rétention lui-même, mais la saisissabilité des objets portés à l'inventaire, il peut déposer une plainte à l'autorité de surveillance dans les dix jours dès la réception du procès-verbal d'inventaire (art. 272 al. 3 CO, 92 LP; RO 82 III 79/80, consid. 2, 83 III 37). En l'espèce, le débiteur a retiré, d'une part, l'opposition qu'il avait formée au commandement de payer. De même que le défaut d'opposition, ce retrait doit être considéré comme une reconnaissance implicite du droit de rétention invoqué par le bailleur. D'autre part, le débiteur n'a pas tenté, par le dépôt d'une plainte, de faire constater BGE 90 III 99 S. 102 l'insaisissabilité des objets mentionnés à l'inventaire. Il a donc admis également que le char inventorié fût réalisé au profit du poursuivant. Aussi la contestation du droit de rétention formulée tardivement par son mandataire est-elle inopérante.</w:t>
      </w:r>
    </w:p>
    <w:p>
      <w:r>
        <w:rPr>
          <w:b/>
        </w:rPr>
        <w:t>E. 2</w:t>
      </w:r>
    </w:p>
    <w:p>
      <w:r>
        <w:t>La décision du 14 juillet 1964 fixant au recourant un délai pour introduire l'action prévue à l'art. 107 LP était sans objet. En effet, la procédure de revendication des art. 106 et 107 LP n'est pas applicable dans les relations entre le créancier qui invoque le droit de rétention du bailleur et son débiteur. L'Office des poursuites de La Chaux-de-Fonds se réfère à l'arrêt publié au RO 81 III 7 ss. Mais il perd de vue que cet arrêt, comme la jurisprudence antérieure qu'il rappelle (RO 68 III 59, 77 III 166/7), concerne le cas différent où le créancier du loyer ou fermage prétend exercer son droit de rétention sur des objets déjà saisis à la réquisition d'un autre créancier; il s'agit alors de vider une contestation entre deux créanciers, non entre le créancier du loyer ou fermage et son débiteur (cf. aussi STOCKER, FJS 985, VI 1/2, p. 7/8).</w:t>
      </w:r>
    </w:p>
    <w:p>
      <w:r>
        <w:rPr>
          <w:b/>
        </w:rPr>
        <w:t>E. 3</w:t>
      </w:r>
    </w:p>
    <w:p>
      <w:r>
        <w:t>Peu importe que le recourant n'ait pas porté plainte en temps utile contre l'avis du 14 juillet 1964 qui lui fixait à tort un délai pour intenter une action en reconnaissance de son droit de rétention. L'acte en question était manifestement illégal, et partant nul. Or cette nullité doit être constatée d'office en tout temps (cf. RO 84 III 82 ss., 87 III 99, 88 III 80, 89 IV 79). La situation de droit acquise entre le bailleur et son débiteur n'a pas été modifiée par la mesure entachée de nullité. Le produit de la réalisation du char porté à l'inventaire servira donc à désintéresser en premier lieu le créancier titulaire du droit de rétention. Comme le prix obtenu est inférieur au montant de la créance de loyer en poursuite, il sera versé intégralement au bailleur. La décision de l'office de La Chaux-de-Fonds réclamant à celui de Grandson le produit de la réalisation, afin de le distribuer aux autres créanciers saisissants, est par conséquent mal fondée et doit être annulée. BGE 90 III 99 S. 103</w:t>
      </w:r>
    </w:p>
    <w:p>
      <w:r>
        <w:rPr>
          <w:b/>
        </w:rPr>
        <w:t>E. 4</w:t>
      </w:r>
    </w:p>
    <w:p>
      <w:r>
        <w:t>Le recourant ne saurait obtenir les dépens qu'il réclame. La procédure de plainte est en effet gratuite, y compris le recours au Tribunal fédéral (art. 69 et 78 Tarif LP, RO 85 III 60/1, consid. 1). Dispositiv Par ces motifs, la Chambre des poursuites et des faillites: Admet partiellement le recours, annule la décision rendue le 10 novembre 1964 par l'Autorité de surveillance des offices de poursuite pour dettes et de faillite du canton de Neuchâtel et prononce: a) La décision du 19 octobre 1964 par laquelle l'Office des poursuites de La Chaux-de-Fonds a invité l'office de Grandson à lui remettre le produit de la réalisation du char à pneus vendu dans la poursuite pour loyers ou fermages no 5902, est annulée; b) L'office de Grandson est autorisé à verser le produit de la réalisation au créancier Dante Schiumarini.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