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67</w:t>
      </w:r>
    </w:p>
    <w:p>
      <w:r>
        <w:t>Bundesgericht (BGE), 1964-11-26, DE</w:t>
      </w:r>
    </w:p>
    <w:p>
      <w:r>
        <w:rPr>
          <w:b/>
        </w:rPr>
        <w:t xml:space="preserve">Quelle: </w:t>
      </w:r>
      <w:r>
        <w:t>https://mcp.opencaselaw.ch/entscheid/bge_BGE_90_III_67</w:t>
      </w:r>
    </w:p>
    <w:p>
      <w:r>
        <w:t>FR: ATF 90 III 67</w:t>
      </w:r>
    </w:p>
    <w:p>
      <w:r>
        <w:t>IT: DTF 90 III 67</w:t>
      </w:r>
    </w:p>
    <w:p>
      <w:pPr>
        <w:pStyle w:val="Heading2"/>
      </w:pPr>
      <w:r>
        <w:t>Regeste</w:t>
      </w:r>
    </w:p>
    <w:p>
      <w:r>
        <w:t>Regeste 1. Auslegung eines Beschwerdeantrages (Erw. 1 und 4). 2. Hinterlegung der Betreibungssumme durch einen Dritten zur Abwendung einer bevorstehenden Pfändung. Ist dieser Zweck gegenstandslos geworden, so ist der hinterlegte Betrag zurückzugeben. Das Betreibungsamt darf ihn nicht einem andern als dem vom Hinterleger verfolgten Zwecke widmen. (Erw. 2 und 3).</w:t>
      </w:r>
    </w:p>
    <w:p>
      <w:r>
        <w:t>Regeste 1. Interprétation des conclusions d'un recours (consid. 1 et 4). 2. Dépôt par un tiers de la somme en poursuite, afin d'éviter une saisie imminente. Si ce but devient sans objet, le montant déposé doit être restitué. L'office ne doit pas l'affecter à un autre but que celui poursuivi par le déposant (consid. 2 et 3).</w:t>
      </w:r>
    </w:p>
    <w:p>
      <w:r>
        <w:t>Regesto 1. Interpretazione delle conclusioni di un ricorso (consid. 1 e 4). 2. Deposito, da parte di un terzo, della somma escussa al fine di evitare un imminente pignoramento. Se questo scopo diventa senza oggetto, l'ammontare depositato dev'essere restituito. L'ufficio d'esecuzione non può destinarlo a scopo diverso da quello perseguito dal depositante (consid. 2 e 3).</w:t>
      </w:r>
    </w:p>
    <w:p>
      <w:pPr>
        <w:pStyle w:val="Heading2"/>
      </w:pPr>
      <w:r>
        <w:t>Erwägungen</w:t>
      </w:r>
    </w:p>
    <w:p>
      <w:r>
        <w:rPr>
          <w:b/>
        </w:rPr>
        <w:t>E. 1</w:t>
      </w:r>
    </w:p>
    <w:p>
      <w:r>
        <w:t>Als Beschwerdeführer bezeichnet die Vorinstanz nur den Schuldner, obwohl die Beschwerde von der Hinterlegerin mitunterzeichnet war. In Wahrheit hat diese gemeinsam mit dem Schuldner Beschwerde geführt, und es ist das freilich nicht ganz eindeutig gefasste Beschwerdebegehren gerade mit Rücksicht auf die zwei Unterschriften dahin zu verstehen, es werde die Rückerstattung der Hinterlage an Lisa Müller, sei es unmittelbar oder durch Vermittlung des Schuldners, verlangt. Durch den die Beschwerde abweisenden Entscheid ist die Hinterlegerin somit beschwert und daher zur Weiterziehung an das Bundesgericht legitimiert. Da sie nunmehr allein als Rekurrentin auftritt, ist das im wesentlichen gleich wie BGE 90 III 67 S. 70 in der Beschwerde lautende Begehren vollends als auf Rückerstattung an sie gehend aufzufassen.</w:t>
      </w:r>
    </w:p>
    <w:p>
      <w:r>
        <w:rPr>
          <w:b/>
        </w:rPr>
        <w:t>E. 2</w:t>
      </w:r>
    </w:p>
    <w:p>
      <w:r>
        <w:t>Zweck der Hinterlage war die Abwendung der Pfändung, die dem Schuldner nach Gutheissung der Forderungsklage durch das Urteil vom 6. Dezember 1962 infolge des vom Gläubiger gestellten Fortsetzungsbegehrens drohte. Die Hinterlegung erfolgte, bevor der gegen jenes Urteil eingereichten Nichtigkeitsklage aufschiebende Wirkung beigelegt worden war. Sie hatte ihren Zweck erfüllt, als der Appellationshof das Urteil des Gerichtspräsidenten am 7. November 1963 aufhob. Nun war der Rechtsvorschlag wieder wirksam und eine Fortsetzung der Betreibung unzulässig. Die seinerzeit geleistete Hinterlage war damit gegenstandslos geworden und der Rekurrentin zurückzugeben. Es geht nicht an, einer solchen freiwillig geleisteten Hinterlage über die ihr vom Hinterleger gegebene Zweckbestimmung hinaus den Charakter einer "Zahlung auf Recht hin" zuzuschreiben, die nun auch gegen dessen Willen fortbestehen müsste, bis die Klage des Gläubigers allenfalls endgültig abgewiesen wird. Es handelte sich im vorliegenden Fall um eine blosse Sicherheitsleistung. Die Umstände, die dazu Veranlassung geboten hatten, lagen nach der Aufhebung des gerichtlichen Urteils vom 6. Dezember 1962 nicht mehr vor.</w:t>
      </w:r>
    </w:p>
    <w:p>
      <w:r>
        <w:rPr>
          <w:b/>
        </w:rPr>
        <w:t>E. 3</w:t>
      </w:r>
    </w:p>
    <w:p>
      <w:r>
        <w:t>Daran ändert der im September 1964 ergangene zweite Entscheid des Gerichtspräsidenten IV von Bern nichts. Es stand im Belieben der Rekurrentin, ob sie, um nochmals einer Pfändung vorzubeugen, die Hinterlage erneuern (bestehen lassen) oder aber zurückziehen wolle. Übrigens drohte diesmal einstweilen keine Pfändung. Denn bevor der Gläubiger gestützt auf das neue Urteil im Forderungsprozesse nochmals die Fortsetzung der Betreibung verlangte, reichte der Schuldner wiederum eine Nichtigkeitsklage ein, und dieser wurde aufschiebende Wirkung beigelegt, die zur Zeit der Ausfällung des hier angefochtenen Beschwerdeentscheides noch zu Recht BGE 90 III 67 S. 71 bestand. - Aber auch abgesehen davon, dass das neue Urteil des Gerichtspräsidenten IV von Bern für den Schuldner keine so bedrohliche Sachlage mit sich gebracht hat wie das erste, kann die Rekurrentin, wie dargetan, nicht gegen ihren Willen dazu angehalten werden, die mit dem Hinfall des ersten Zivilurteils gegenstandslos gewordene Sicherheit einem neuen Zwecke dienstbar zu machen und daher aufrecht zu erhalten.</w:t>
      </w:r>
    </w:p>
    <w:p>
      <w:r>
        <w:rPr>
          <w:b/>
        </w:rPr>
        <w:t>E. 4</w:t>
      </w:r>
    </w:p>
    <w:p>
      <w:r>
        <w:t>Zweifellos aus Irrtum beziffert der Rekurs (wie bereits die an die Vorinstanz gerichtete Beschwerde) den Betrag der Hinterlage, der sich auf Fr. 299.-- beläuft, bloss auf Fr. 295.35 (gleich dem Hauptbetrag der Betreibungssumme). Dem wahren Sinn des Begehrens entsprechend hat das Betreibungsamt den ganzen Betrag der Hinterlage zurückzugeben. Ob ausserdem ein Depotzins zu vergüten ist, muss offen bleiben, da hiefür keine Unterlagen beigebracht wurden. Dispositiv Demnach erkennt die Schuldbetr.- und Konkurskammer: Der Rekurs wird gutgeheissen und das Betreibungsamt Bern 2 angewiesen, der Rekurrentin den von ihr am 7. Januar 1963 in der Betreibung Nr. 39271 hinterlegten Betrag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