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33</w:t>
      </w:r>
    </w:p>
    <w:p>
      <w:r>
        <w:t>Bundesgericht (BGE), 1964-06-08, DE</w:t>
      </w:r>
    </w:p>
    <w:p>
      <w:r>
        <w:rPr>
          <w:b/>
        </w:rPr>
        <w:t xml:space="preserve">Quelle: </w:t>
      </w:r>
      <w:r>
        <w:t>https://mcp.opencaselaw.ch/entscheid/bge_BGE_90_III_33</w:t>
      </w:r>
    </w:p>
    <w:p>
      <w:r>
        <w:t>FR: ATF 90 III 33</w:t>
      </w:r>
    </w:p>
    <w:p>
      <w:r>
        <w:t>IT: DTF 90 III 33</w:t>
      </w:r>
    </w:p>
    <w:p>
      <w:pPr>
        <w:pStyle w:val="Heading2"/>
      </w:pPr>
      <w:r>
        <w:t>Regeste</w:t>
      </w:r>
    </w:p>
    <w:p>
      <w:r>
        <w:t>Regeste Lohnpfändung. Berechnung der pfändbaren Quote. Art. 93 SchKG. Bei der Feststellung des pfändbaren Lohnbetrages ist auf den Lohn abzustellen, den der Schuldner wirklich ausbezahlt erhält. Von der Arbeitgeberin ohne Zutun des Schuldners abgezogene pauschale Einkommenssteuern sind nicht als Teil des für die Pfändung massgebenden Nettolohnes zu betrachten.</w:t>
      </w:r>
    </w:p>
    <w:p>
      <w:r>
        <w:t>Regeste Saisie de salaire. Calcul du montant saisissable. Art. 93 LP. Pour fixer le montant saisissable, il faut prendre en considération le salaire réellement versé au débiteur. Le salaire net décisif ne comprend pas la somme forfaitaire déduite par l'employeur, sans que le débiteur y soit pour rien, en vue du paiement des impôts sur le revenu.</w:t>
      </w:r>
    </w:p>
    <w:p>
      <w:r>
        <w:t>Regesto Pignoramento di salario. Calcolo della quota pignorabile. Art. 93 LEF. Per la determinazione dell'ammontare pignorabile, si deve tener conto del salario effettivamente versato al debitore. Il salario netto determinante non comprende la somma globale dedotta dal datore di lavoro, indipendentemente dalla volontà del debitore e destinata al pagamento delle imposte sul reddito.</w:t>
      </w:r>
    </w:p>
    <w:p>
      <w:pPr>
        <w:pStyle w:val="Heading2"/>
      </w:pPr>
      <w:r>
        <w:t>Erwägungen</w:t>
      </w:r>
    </w:p>
    <w:p>
      <w:r>
        <w:rPr>
          <w:b/>
        </w:rPr>
        <w:t>E. 2</w:t>
      </w:r>
    </w:p>
    <w:p>
      <w:r>
        <w:t>Der Schuldner verdient bei der Josef Meier AG brutto Fr. 945.--. Davon sind nach der Meinung des BGE 90 III 33 S. 35 Rekurrenten bloss Fr. 55.70 Beiträge an verschiedene Sozialversicherungskassen abzuziehen, sodass der für die Pfändung massgebende Nettolohn Fr. 889.30 betragen würde und bei einem unbestrittenen Existenzminimum von Fr. 873.-- ein pfändbarer Lohnbetrag von Fr. 16.30 verbliebe. Diese Berechnung ist unrichtig. Wie die Vorinstanz zutreffend ausführt, ist als Lohn des Schuldners Riedmann der Betrag massgebend, den er wirklich ausbezahlt erhält (s. BGE 77 III 162 ). Dies sind aber bloss Fr. 845.30, d.h. die errechneten Fr. 889.30 abzüglich eine Pauschalsteuer von Fr. 44.- monatlich. Die Pauschalsteuer zahlt die Arbeitgeberin als Vertreterin des steuerpflichtigen Schuldners Riedmann - der ausländischer Aufenthalter in der Schweiz ist - direkt an die Steuerbehörde und entgeht damit einer allfälligen Haftbarkeit als Solidarschuldnerin. Für die Zulässigkeit des direkten Abzuges kann sich die Josef Meier AG auf die Verordnung des Regierungsrates des Kantons Luzern vom 29. Dezember 1956 über die pauschale Besteuerung des Erwerbseinkommens ausländischer Aufenthalter stützen. Sollte der Rekurrent das Recht der Arbeitgeberin bestreiten, einen Teil des Lohnes des Schuldners zurückzubehalten, so hätte das Betreibungsamt nach den Regeln über die Pfändung bestrittener Guthaben vorzugehen (s. BGE 77 III 162 ). Es handelt sich also nicht um die Zurechnung der Steuern zum Notbedarf, sondern um einen ohne Zutun des Schuldners von der Arbeitgeberin vorgenommenen Lohnabzug. Für die Steuerbehörde wird dadurch kein betreibungsrechtliches Privileg geschaffen; sie stützt sich auf den in der Verordnung des Regierungsrates enthaltenen besondern Rechtstitel. Eine Rechtsungleichheit zwischen Schuldnern, die ausländische Aufenthalter sind, und solchen, die als Schweizer oder Ausländer Wohnsitz in der Schweiz haben, wird durch die Berechnungsart ebenfalls nicht bewirkt. Im Gegenteil: Es wird der Grundsatz verwirklicht, dass jeder Schuldner das ihm zustehende Existenzminimum tatsächlich ausbezahlt erhalten soll und BGE 90 III 33 S. 36 ihm nicht Lohnforderungen angerechnet werden, über die er wegen Verrechnung oder Zession gar nicht verfügen kann.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