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90 III 29</w:t>
      </w:r>
    </w:p>
    <w:p>
      <w:r>
        <w:t>Bundesgericht (BGE), 1964-01-01, FR</w:t>
      </w:r>
    </w:p>
    <w:p>
      <w:r>
        <w:rPr>
          <w:b/>
        </w:rPr>
        <w:t xml:space="preserve">Quelle: </w:t>
      </w:r>
      <w:r>
        <w:t>https://mcp.opencaselaw.ch/entscheid/bge_BGE_90_III_29</w:t>
      </w:r>
    </w:p>
    <w:p>
      <w:r>
        <w:t>FR: ATF 90 III 29</w:t>
      </w:r>
    </w:p>
    <w:p>
      <w:r>
        <w:t>IT: DTF 90 III 29</w:t>
      </w:r>
    </w:p>
    <w:p>
      <w:pPr>
        <w:pStyle w:val="Heading2"/>
      </w:pPr>
      <w:r>
        <w:t>Regeste</w:t>
      </w:r>
    </w:p>
    <w:p>
      <w:r>
        <w:t>Regeste 1. Art. 4 Abs. 5 lit. a der Verordnung betreffend die Eintragung der Eigentumsvorbehalte; Art. 226 a Abs. 2 Ziff. 8 und Abs. 3, 226 c Abs. 3 OR. Der Abzahlungsvertrag ist ungültig, wenn er das Recht des Käufers, "unter den in Artikel 226 c genannten Bedingungen" auf den Abschluss zu verzichten, nicht aufführt. Das Verbot, den Verzicht an die Bezahlung eines Reugeldes zu knüpfen, ist dabei ebenfalls zu erwähnen. (Erw. 1). 2. Art. 226 c Abs. 2 OR. Der Käufer darf die Sache, soweit es zur üblichen Prüfung nötig ist, benützen, ohne dadurch das Recht, auf den Vertragsabschluss zu verzichten, zu verlieren (Erw. 2).</w:t>
      </w:r>
    </w:p>
    <w:p>
      <w:r>
        <w:t>Regeste 1. Art. 4 al. 5 litt. a OIPR; art. 226 a, al. 2 ch. 8 et al. 3, 226 c al. 3 CO. Le contrat ayant pour objet une vente par acomptes est nul lorsqu'il ne contient pas la mention du droit de l'acheteur de renoncer à sa conclusion "aux conditions prévues par l'art. 226 c CO". L'interdiction de prévoir un dédit doit être signalée (consid. 1). 2. Art. 226 c al. 2 CO. L'acheteur peut utiliser la chose livrée dans la mesure nécessaire à l'examen usuel sans perdre la faculté de renoncer à la conclusion du contrat (consid. 2).</w:t>
      </w:r>
    </w:p>
    <w:p>
      <w:r>
        <w:t>Regesto 1. Art. 4 cpv. 5 lett. a RIPP; art. 226 a cpv. 2 num. 8 e cpv. 3, 226 c cpv. 3 CO. Il contrato che ha per oggetto una vendita a pagamento rateale è nullo se non contiene la menzione del diritto del compratore di rinunciare alla conclusione "alle condizioni previste nello art. 226 c CO". Il divieto di stabilire pene di recesso dev'essere segnalato (consid. 1). 2. Art. 226 c cpv. 2 CO. Il compratore può servirsi della cosa fornita, in quanto sia normalmente necessario per farne la prova, senza perdere la facoltà di rinunciare alla conclusione del contratto (consid. 2).</w:t>
      </w:r>
    </w:p>
    <w:p>
      <w:pPr>
        <w:pStyle w:val="Heading2"/>
      </w:pPr>
      <w:r>
        <w:t>Erwägungen</w:t>
      </w:r>
    </w:p>
    <w:p>
      <w:r>
        <w:rPr>
          <w:b/>
        </w:rPr>
        <w:t>E. 1</w:t>
      </w:r>
    </w:p>
    <w:p>
      <w:r>
        <w:t>De par l'art. 4 al. 5 litt. a OIPR (modifiée et complétée le 29 octobre 1962), l'inscription requise sur la base d'une vente par acomptes ne peut être opérée que si le contrat contient toutes les énonciations nécessaires à sa validité selon l'art. 226 a al. 3 CO. Le contrat est nul, notamment, lorsqu'il ne contient pas la mention du droit pour l'acheteur de renoncer à sa conclusion "aux conditions prévues par l'art. 226 c". En vertu de l'al. 3 de cette disposition, aucun dédit ne peut être réclamé à l'acheteur s'il exerce cette faculté; l'art. 226 a al. 2 ch. 8, qui impose la mention du droit de renoncer, n'indique pas cette précision. Celle-ci est toutefois nécessaire à la validité du contrat, comme la Cour cantonale l'a justement décidé. L'art. 226 a al. 3 n'est en effet pas équivoque. Il se réfère aux "conditions" de l'art. 226 c. Cela veut dire que le droit s'exerce selon les règles contenues dans cette disposition. L'une d'elles, l'absence de dédit, lui est essentielle et lui donne son exacte portée. Son efficacité s'accroît en effet considérablement si l'acheteur ne doit pas dédommager le vendeur lorsque, usant d'une faculté spéciale contraire au principe général pacta sunt servanda, il renie sa signature et ses engagements. Tant qu'il ignore cette particularité décisive pour son choix, l'acheteur ne connaît pas son droit; il ne sait pas notamment combien la loi lui en facilite l'exercice. On ne saurait soutenir, avec la recourante, que la "gratuité" de la renonciation soit la conséquence de l'usage de la faculté prévue par la loi. En interdisant le dédit, celle-ci règle une condition d'exercice du droit (non pas certes la manière de procéder, mais bien le contenu, l'étendue du droit). Il s'ensuit que l'interdiction, parce qu'elle constitue un aspect essentiel de la possibilité de renoncer à la conclusion, doit être expressément mentionnée dans le contrat. La recourante l'a du reste fort bien compris, puisqu'elle BGE 90 III 29 S. 32 procède ainsi dans d'autres cas. Elle précise elle-même que le projet du Conseil fédéral considérait comme essentielle l'indication du droit de résoudre le contrat et, s'il y a lieu, du dédit à payer: il est pour le moins aussi important de savoir que l'on ne paiera rien.</w:t>
      </w:r>
    </w:p>
    <w:p>
      <w:r>
        <w:rPr>
          <w:b/>
        </w:rPr>
        <w:t>E. 2</w:t>
      </w:r>
    </w:p>
    <w:p>
      <w:r>
        <w:t>Le contrat conclu ne se conforme pas à la loi sur un second point. Le droit de renoncer à sa conclusion n'y est réservé que si l'acheteur n'utilise pas l'objet vendu. Tel n'est pas le sens de la disposition impérative de l'art. 226 c al. 2 CO. L'acheteur peut en effet utiliser la chose dans la mesure nécessaire à l'examen usuel sans perdre la faculté de renoncer à la conclusion du contrat. Cette règle contribue à déterminer la portée du droit de l'acheteur.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