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13</w:t>
      </w:r>
    </w:p>
    <w:p>
      <w:r>
        <w:t>Bundesgericht (BGE), 1964-01-01, DE</w:t>
      </w:r>
    </w:p>
    <w:p>
      <w:r>
        <w:rPr>
          <w:b/>
        </w:rPr>
        <w:t xml:space="preserve">Quelle: </w:t>
      </w:r>
      <w:r>
        <w:t>https://mcp.opencaselaw.ch/entscheid/bge_BGE_90_III_13</w:t>
      </w:r>
    </w:p>
    <w:p>
      <w:r>
        <w:t>FR: ATF 90 III 13</w:t>
      </w:r>
    </w:p>
    <w:p>
      <w:r>
        <w:t>IT: DTF 90 III 13</w:t>
      </w:r>
    </w:p>
    <w:p>
      <w:pPr>
        <w:pStyle w:val="Heading2"/>
      </w:pPr>
      <w:r>
        <w:t>Regeste</w:t>
      </w:r>
    </w:p>
    <w:p>
      <w:r>
        <w:t>Regeste Wird ein Dritter fälschlicherweise als gesetzlicher Vertreter des Schuldners betrachtet, so ist die an jenen erfolgte Zustellung des Zahlungsbefehls nichtig. Eine nachträgliche Ernennung jenes Dritten zum Beistand vermag den Mangel nicht zu beheben. Art. 392 Ziff. 2 und Art. 418 ZGB. Art. 47 SchKG. (Erw. 1). Auslegung einer Ernennung zum Beistand des Schuldners "für eine neue Betreibung" nach Aufhebung der frühern Betreibung wegen formeller Mängel. Art. 392 Ziff. 2 ZGB. (Erw. 2).</w:t>
      </w:r>
    </w:p>
    <w:p>
      <w:r>
        <w:t>Regeste La notification d'un commandement de payer est nulle lorsqu'elle est faite à un tiers considéré à tort comme le représentant légal du débiteur. Le vice n'est pas réparé par la désignation ultérieure du tiers en qualité de curateur. Art. 392 ch. 2 et 418 CC. Art. 47 LP (consid. 1). Comment interpréter la désignation d'un curateur du débiteur "en vue d'une nouvelle poursuite" après l'annulation d'une poursuite antérieure pour vices de forme? Art. 392 ch. 2 CC consid. 2).</w:t>
      </w:r>
    </w:p>
    <w:p>
      <w:r>
        <w:t>Regesto La notificazione di un precetto esecutivo è nulla se è fatta a un terzo erroneamente considerato come rappresentante legale del debitore. La successiva nomina del terzo a curatore non sana il vizio. Art. 392 num. 2 e art. 418 CC. Art. 47 LEF (consid. 1). Interpretazione di una nomina del curatore del debitore "in vista di una nuova esecuzione" dopo annullamento, per vizio formale, della precedente esecuzione. Art. 392 num. 2 CC (consid. 2).</w:t>
      </w:r>
    </w:p>
    <w:p>
      <w:pPr>
        <w:pStyle w:val="Heading2"/>
      </w:pPr>
      <w:r>
        <w:t>Erwägungen</w:t>
      </w:r>
    </w:p>
    <w:p>
      <w:r>
        <w:rPr>
          <w:b/>
        </w:rPr>
        <w:t>E. 1</w:t>
      </w:r>
    </w:p>
    <w:p>
      <w:r>
        <w:t>Wenn, wie die Rekurrenten annehmen, Adolf Birrer bei der Entgegennahme des Zahlungsbefehls Nr. 13329 nicht als Beistand zu handeln befugt war, so erweist sich die Zustellung als ungültig und die Betreibung als nichtig. Denn wenn Birrer, gemäss dieser Auffassung, nicht mehr als gesetzlicher Vertreter des Ehemannes Boog zu amten hatte, so konnte diese Zustellung schlechthin keine Rechtswirkungen BGE 90 III 13 S. 16 entfalten, auch dann nicht, wenn die Urkunde alsdann in die Hände des (handlungsunfähigen) Alois Boog selbst oder seiner (in dieser Angelegenheit nicht vertretungsberechtigten) Vormünderin gelangte. Ein derart unwirksamer Zustellungsakt konnte - entgegen den Eventualerwägungen der Vorinstanz - nicht durch eine spätere Ernennung des Adolf Birrer als Beistand nachträglich gültig werden. Der Hinweis auf EGGER, N. 2 zu Art. 418 ZGB , geht fehl. Wenn danach Handlungen eines von der Vormundschaftsbehörde ernannten Beistandes, die er als dringlich ohne Einholung genauer Weisungen vorsorglicherweise vornahm, nachträglich genehmigt werden können, so folgt daraus nicht, dass auch Handlungen eines Unbefugten für einen Dritten Verbindlichkeit erlangen, wenn jener nachträglich als dessen Beistand ernannt wird. Art. 418 ZGB hat nur die Weisungen der Vormundschaftsbehörde an einen bereits ernannten Beistand im Auge, und jene Kommentarstelle bezieht sich demgemäss auf Handlungen, die der Betreffende vornimmt, um eben die ihm (bereits) übertragene Aufgabe als Beistand zu erfüllen. Jemand aber, dem diese Stellung nicht zukommt, kann überhaupt nicht in solcher Eigenschaft handeln, auch nicht im Hinblick auf eine künftige Ernennung. Vorbehalten bleiben Rechtshandlungen, die, auch wenn sie ohne Vertretungsbefugnis vorgenommen wurden, nachträglicher Genehmigung zugänglich sind (vgl. Art. 38 OR ). Dies steht aber hier nicht in Frage. Es geht nicht etwa um den von Adolf Birrer für Alois Boog erhobenen Rechtsvorschlag, sondern um die Zustellung des Zahlungsbefehls, eine Handlung des Betreibungsamtes. Wurde diese Betreibungsurkunde einer fälschlicherweise als Vertretungsbeistand betrachteten Person zugestellt, so konnte eine spätere Beistandsernennung nicht rückwirkend die in ungültiger Weise erfolgte Zustellung des Zahlungsbefehls Nr. 13329 gültig machen.</w:t>
      </w:r>
    </w:p>
    <w:p>
      <w:r>
        <w:rPr>
          <w:b/>
        </w:rPr>
        <w:t>E. 2</w:t>
      </w:r>
    </w:p>
    <w:p>
      <w:r>
        <w:t>Somit hängt die Entscheidung davon ab, ob Birrer bei der Zustellung des Zahlungsbefehls Nr. 13329 als BGE 90 III 13 S. 17 Beistand zu wirken befugt war. Dies hat die Vorinstanz in ihren Haupterwägungen in zutreffender Weise bejaht. Wenn nach Aufhebung der vorausgegangenen Betreibungen der Gemeinderat am 1. Juni 1963 erklärte, dass "für eine neue Betreibung ebenfalls ... Birrer ... mitzuwirken" habe, so muss dies bei mangelhafter Einleitung einer zweiten Doppelbetreibung gegen die Eheleute Boog vernünftigerweise auch für die nachfolgende dritte Betreibung gelten, welche dieselbe Forderung betraf und wobei die Vormünderin wiederum gehindert war, den mitbetriebenen Ehemann zu vertreten. Es war daher unnötig, dass der Gemeinderat am 24. September 1963 auch für die Betreibung Nr. 13329 Birrer zum Beistand ernannte. Er war es bei Anhebung dieser Betreibung schon gewesen. Bei dieser Sachlage kann dahingestellt bleiben, ob die Vertretungsbeistandschaft nicht selbst dann, wenn sie lediglich für die damals bevorstehende zweite Betreibung erneuert worden wäre, über deren Dauer hinaus auch für die dieselbe Schuld betreffende dritte Betreibung hätte gelten müssen, weil es im Grunde genommen um die Vollstreckung der in Frage stehenden Vollschuld der Frau Boog ging und die Betreibung Nr. 13329 nichts anderes als eine durch das formelle Scheitern der zweiten Betreibung bedingte Weiterung der Angelegenheit war (vgl. H. PFANDER, Die Beistandschaft nach Art. 392 und 393 ZGB , Diss. 1932, S. 46, und EGGER, 2. Auflage, N. 2 zu Art. 439/40 ZGB).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