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III 10</w:t>
      </w:r>
    </w:p>
    <w:p>
      <w:r>
        <w:t>Bundesgericht (BGE), 1964-05-02, DE</w:t>
      </w:r>
    </w:p>
    <w:p>
      <w:r>
        <w:rPr>
          <w:b/>
        </w:rPr>
        <w:t xml:space="preserve">Quelle: </w:t>
      </w:r>
      <w:r>
        <w:t>https://mcp.opencaselaw.ch/entscheid/bge_BGE_90_III_10</w:t>
      </w:r>
    </w:p>
    <w:p>
      <w:r>
        <w:t>FR: ATF 90 III 10</w:t>
      </w:r>
    </w:p>
    <w:p>
      <w:r>
        <w:t>IT: DTF 90 III 10</w:t>
      </w:r>
    </w:p>
    <w:p>
      <w:pPr>
        <w:pStyle w:val="Heading2"/>
      </w:pPr>
      <w:r>
        <w:t>Regeste</w:t>
      </w:r>
    </w:p>
    <w:p>
      <w:r>
        <w:t>Regeste Aktive Betreibungsfähigkeit kommt der Gemeinde und nicht dem ihr zugeordneten Verwaltungszweig zu. Im Falle der Betreibung zu Gunsten des Verwaltungszweiges liegt eine mangelhafte Gläubigerbezeichnung vor. Voraussetzungen, unter denen ein solcher Mangel zur Aufhebung der Betreibung führt.</w:t>
      </w:r>
    </w:p>
    <w:p>
      <w:r>
        <w:t>Regeste La commune a qualité pour intenter une poursuite, non le service administratif qui lui est subordonné. Lorsque celui-ci agit, on est en présence d'une désignation défectueuse du créancier. Conditions dans lesquelles un tel vice entraîne l'annulation de la poursuite.</w:t>
      </w:r>
    </w:p>
    <w:p>
      <w:r>
        <w:t>Regesto La qualità per promuovere un'esecuzione spetta al comune e non al servizio amministrativo del medesimo. Nel caso in cui questo proceda, si ha una difettosa designazione del creditore. Condizioni alle quali un siffatto vizio trae seco l'annullamento dell'esecuzione.</w:t>
      </w:r>
    </w:p>
    <w:p>
      <w:pPr>
        <w:pStyle w:val="Heading2"/>
      </w:pPr>
      <w:r>
        <w:t>Erwägungen</w:t>
      </w:r>
    </w:p>
    <w:p>
      <w:r>
        <w:rPr>
          <w:b/>
        </w:rPr>
        <w:t>E. 1</w:t>
      </w:r>
    </w:p>
    <w:p>
      <w:r>
        <w:t>In Anlehnung an zivilprozessuale Grundsätze ergibt sich für das Betreibungsverfahren, dass eine Betreibung BGE 90 III 10 S. 12 als Gläubiger nur einleiten kann, wer parteifähig und handlungsfähig ist. Der Rekurrent bestreitet in der gegen ihn gerichteten Betreibung Nr. 7010 diese Eigenschaften bei den Gläubigerinnen, der Kirchenverwaltung und der Armenpflege Seedorf. Die Bestreitung erfolgt insoweit zu Recht, als die Fähigkeit, in eigenem Namen zu betreiben, nicht der Kirchenverwaltung oder Armenpflege als Organ oder Verwaltungszweig der Gemeinde Seedorf zukommt, sondern allein dem hinter den genannten Organen stehenden Rechtssubjekt, der Einwohnergemeinde Seedorf selbst. Allein wenn auch formell Kirchenverwaltung und Armenpflege Seedorf als Gläubigerinnen auftreten, so ergibt sich doch ohne weiteres, dass die Betreibung als solche der Gemeinde Seedorf, deren Verwaltungsorgane die Gläubigerinnen bilden, zu behandeln ist. Es handelt sich also im vorliegenden Fall um eine mangelhafte Gläubigerbezeichnung, welche aber den handlungs- und parteifähigen, wirklichen Gläubiger erkennen lässt. Ein solcher, unbedeutender Mangel gibt normalerweise keinen Anlass zur Aufhebung der Betreibung ( BGE 31 I 529 und Entscheid des Obergerichtes des Kantons Aargau vom 3. März 1950 in Bl. f. Sch. u. K. 1952, S. 170/171; vgl. auchBGE 41 III 170/171 E. 2). Eine derart schwerwiegende Massnahme könnte höchstens dann vorgenommen werden, wenn die unrichtige Bezeichnung missverständlich wäre, der Schuldner dieser Unklarheit zum Opfer fiele und die Aufrechterhaltung der Betreibung ihn in seinen Interessen schädigte ( BGE 31 I 529 /530). Dies trifft aber im vorliegenden Fall nicht zu; es fehlen auch entsprechende Behauptungen des Rekurrenten.</w:t>
      </w:r>
    </w:p>
    <w:p>
      <w:r>
        <w:rPr>
          <w:b/>
        </w:rPr>
        <w:t>E. 2</w:t>
      </w:r>
    </w:p>
    <w:p>
      <w:r>
        <w:t>Im Zivilprozess vor dem Landgericht Uri, welcher dem Betreibungsverfahren Nr. 7010 vorausgegangen ist, war ebenfalls die Partei- und Handlungsfähigkeit der Kirchenverwaltung und Armenpflege Seedorf zu beurteilen. Der Rekurrent und seine Mitkläger klagten die beiden Gemeindeorgane mit der gleichen mangelhaften Bezeichnung ein, wie sie im vorliegenden Rekursverfahren als BGE 90 III 10 S. 13 Nachlässigkeit der Gegenpartei zur Diskussion steht. Trotz der Ungenauigkeit des Rekurrenten und seiner Mitkläger bejahte das Landgericht im Zivilprozess die Partei- und Handlungsfähigkeit der eingeklagten Gemeindeorgane, bzw. der Gemeinde, und damit deren Legitimation zum Verfahren. Die Betreibungsfähigkeit der Gläubigerinnen und deren Prozessfähigkeit sind somit nach gleichen Grundsätzen beurteilt worden und es ergeben sich keine Widersprüche. Dass das Landgericht Uri die Begehren des Rekurrenten und seiner Mitkläger schliesslich in der wenig folgerichtigen Annahme abwies, der Kirchenverwaltung und Armenpflege fehle die Legitimation zur Sache, d.h. die Qualität als Schuldner - nicht als Prozesspartei -, ist für die vorliegende Rekurssache ohne Bedeutung.</w:t>
      </w:r>
    </w:p>
    <w:p>
      <w:r>
        <w:rPr>
          <w:b/>
        </w:rPr>
        <w:t>E. 3</w:t>
      </w:r>
    </w:p>
    <w:p>
      <w:r>
        <w:t>Der materiellrechtliche Anspruch, welchen die Betreibung Nr. 7010 zum Gegenstand hat, ergibt sich aus dem Kostenentscheid des rechtskräftigen Urteils des Landgerichtes Uri vom 26. März 1963. Das Urteil ist im Rechtsöffnungsverfahren als definitiver Rechtsöffnungstitel anerkannt worden, sodass der Vollstreckung des Anspruches der Gläubigerinnen weder Hindernisse des formellen Rechtes noch solche des materiellen entgegenstehen.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