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65</w:t>
      </w:r>
    </w:p>
    <w:p>
      <w:r>
        <w:t>Bundesgericht (BGE), 1963-01-30, DE</w:t>
      </w:r>
    </w:p>
    <w:p>
      <w:r>
        <w:rPr>
          <w:b/>
        </w:rPr>
        <w:t xml:space="preserve">Quelle: </w:t>
      </w:r>
      <w:r>
        <w:t>https://mcp.opencaselaw.ch/entscheid/bge_BGE_89_I_65</w:t>
      </w:r>
    </w:p>
    <w:p>
      <w:r>
        <w:t>FR: ATF 89 I 65</w:t>
      </w:r>
    </w:p>
    <w:p>
      <w:r>
        <w:t>IT: DTF 89 I 65</w:t>
      </w:r>
    </w:p>
    <w:p>
      <w:pPr>
        <w:pStyle w:val="Heading2"/>
      </w:pPr>
      <w:r>
        <w:t>Regeste</w:t>
      </w:r>
    </w:p>
    <w:p>
      <w:r>
        <w:t>Regeste Gerichtsstandsklausel. Die Annahme, die Vereinbarung eines Gerichtsstandes schliesse die Klage am ordentlichen Gerichtsstand des Wohnsitzes des Beklagten nicht aus - verstösst nicht gegen die Art. 58 und 59 BV (Erw. 1). - ist in casu mit dem Wortlaut und Sinn der Klausel vereinbar und nicht willkürlich (Erw. 2).</w:t>
      </w:r>
    </w:p>
    <w:p>
      <w:r>
        <w:t>Regeste Clause de prorogation de for. L'opinion selon laquelle une clause de prorogation de for n'exclut pas une action au for ordinaire du domicile du défendeur - ne viole pas les art. 58 et 59 Cst. (consid. 1); - est conciliable in casu avec la lettre et le sens de la clause et n'est pas arbitraire (consid. 2.).</w:t>
      </w:r>
    </w:p>
    <w:p>
      <w:r>
        <w:t>Regesto Clausola di prorogazione del foro. L'opinione secondo cui una clausola di prorogazione del foro non esclude un'azione promossa al foro ordinario del domicilio del convenuto - non contrasta con gli art. 58 e 59 CF (consid. 1); - è conciliabile in casu con la lettera e il senso della clausola e non è arbitraria (consid. 2).</w:t>
      </w:r>
    </w:p>
    <w:p>
      <w:pPr>
        <w:pStyle w:val="Heading2"/>
      </w:pPr>
      <w:r>
        <w:t>Erwägungen</w:t>
      </w:r>
    </w:p>
    <w:p>
      <w:r>
        <w:rPr>
          <w:b/>
        </w:rPr>
        <w:t>E. 1</w:t>
      </w:r>
    </w:p>
    <w:p>
      <w:r>
        <w:t>Die Berufung des Beschwerdeführers auf die Art. 58 und 59 BV geht offensichtlich fehl. Art. 59 BV schützt den Schuldner unter gewissen Voraussetzungen davor, an einem andern Orte als an seinem schweizerischen Wohnsitz belangt zu werden. Diese Garantie kann vorliegend nicht verletzt sein, da der Beschwerdeführer ja seinen Wohnsitz unbestrittenermassen in Teufen hat und dort vor Gericht gezogen wird. Aus Art. 59 BV kann der Schuldner nicht ableiten, dass er gegebenenfalls nicht an seinem Wohnsitz, sondern an einem andern Orte in der Schweiz oder gar im Ausland belangt werden müsse. Art. 58 BV schützt zunächst gegen die Unterstellung unter Ausnahmegerichte und ist sodann verletzt, wenn ein ordentliches Gericht in Missachtung einer Verfassungs- oder Gesetzesvorschrift seine Zuständigkeit bejaht oder verneint ( BGE 48 I 148 Erw. 1, BGE 83 I 85 Erw. 3). Es ist klar, dass von einer solchen Verletzung vorliegend nicht die Rede sein kann, denn der Beschwerdeführer wird für eine persönliche Ansprache an seinem Wohnsitz belangt, BGE 89 I 65 S. 69 wo sich nach Art. 24 appenzell. ZPO der allgemeine und für Forderungsklagen durch Art. 59 BV noch besonders geschützte Gerichtsstand der natürlichen Person befindet. Fraglich ist einzig, ob die Parteien mit der im Vergleich von 1951 enthaltenen Gerichtsstandsklausel den verfassungs- und gesetzmässigen Gerichtsstand des Wohnsitzes des Beklagten wegbedungen und für die vorliegende Streitigkeit die Gerichte von Frankfurt a.M. als ausschliesslich zuständig erklärt haben. Das Obergericht hat die Frage verneint. Diese Auslegung der Gerichtsstandsklausel kann vom Bundesgericht nur unter dem beschränkten Gesichtswinkel des Art. 4 BV , d.h. daraufhin überprüft werden, ob sie mit dem Wortlaut und Sinn der Klausel unvereinbar, geradezu willkürlich sei.</w:t>
      </w:r>
    </w:p>
    <w:p>
      <w:r>
        <w:rPr>
          <w:b/>
        </w:rPr>
        <w:t>E. 2</w:t>
      </w:r>
    </w:p>
    <w:p>
      <w:r>
        <w:t>Das Obergericht geht davon aus, dass die Ausschliesslichkeit einer Gerichtsstandsklausel nicht zu vermuten sei und dass die Vereinbarung eines Gerichtsstandes im Zweifel die Klage am ordentlichen Gerichtsstand des Wohnsitzes des Beklagten nicht ausschliesse. Diese Betrachtungsweise wird vom Beschwerdeführer mit Recht nicht beanstandet, denn sie wird von GULDENER (Schweiz. Zivilprozessrecht 2. Aufl. S. 94 Anm. 88) vertreten und das Bundesgericht hat sich ihr in BGE 87 I 72 Erw. 5 a angeschlossen, sodass sie jedenfalls nicht als schlechthin unhaltbar, willkürlich bezeichnet werden kann. Der Beschwerdeführer ist jedoch der Auffassung, vorliegend könne kein Zweifel an der Ausschliesslichkeit des vereinbarten Gerichtsstandes bestehen. Die letzte Bestimmung des Vergleichs von 1951 hat den üblichen Inhalt der einem Vertrag beigefügten Gerichtsstandsklausel (vgl. z.B. BGE 87 I 74 und 131). Sie enthält nach ihrem Wortlaut keinen Anhaltspunkt dafür, dass damit im Falle von Streitigkeiten der ordentliche Gerichtsstand des jeweiligen Wohnsitzes des Beklagten ausgeschlossen werden sollte. Es liegen auch keine dem Vergleichsabschluss vorausgegangenen schriftlichen Äusserungen der Parteien oder ihrer damaligen Anwälte vor, BGE 89 I 65 S. 70 die Aufschluss über den Sinn und Zweck der Gerichtsstandsklausel geben würden. Es kann sich somit nur fragen, ob die Umstände, unter denen die Klausel vereinbart wurde, zwingend dafür sprechen, dass die Parteien damit einen ausschliesslichen Gerichtsstand in Frankfurt a.M. begründen wollten. Im Zeitpunkt des Vergleichsabschlusses lag der vereinbarte Gerichtsstand vor allem deshalb im Interesse des Beschwerdeführers, weil er damals in Frankfurt a.M. wohnte. Daneben rechtfertigte sich dieser Gerichtsstand aus sachlichen Gründen, da für die Frage, ob und gegebenenfalls in welcher Höhe der Beschwerdeführer der Beschwerdegegnerin auf Grund des Vergleichs eine Rente zu bezahlen verpflichtet sei, der Ertrag einiger in Frankfurt befindlicher Liegenschaften massgebend ist. Unter diesen Umständen kann es sehr wohl sein, dass die Parteien den im Vergleich vereinbarten Gerichtsstand Frankfurt a.M. als ausschliesslich verstanden haben. Indessen ist dies nicht die einzig mögliche Betrachtungsweise. Die genannten Umstände, die den vereinbarten Gerichtsstand zu rechtfertigen vermögen, sprechen nicht zwingend dafür, dass ihm die Parteien ausschliesslichen Charakter beilegen wollten, und noch weniger, dass sie dies selbst für den Fall wollten, dass der Beschwerdeführer in der Folge seinen Wohnsitz von Frankfurt an einen andern Ort verlegen und seine dortigen Liegenschaften veräussern sollte. Die Annahme des Obergerichts, dass die Parteien für diesen nun eingetretenen Fall den Gerichtsstand des Wohnsitzes des Beklagten für auf Grund des Vergleichs zu erhebende Forderungsklagen gegen ihn nicht ausschliessen wollten, lässt sich mit guten Gründen vertreten und hält jedenfalls dem Vorwurfe der Willkür stand; denn es liegt nach den genannten Umständen nahe und ist jedenfalls nicht ausgeschlossen, dass der Gerichtsstand Frankfurt allein oder doch hauptsächlich im Hinblick auf den damaligen Wohnsitz des Beschwerdeführers in dieser Stadt vereinbart wurde. BGE 89 I 65 S. 71 Ob die Berufung des Beschwerdeführers auf diesen Gerichtsstand, wie das Obergericht angenommen hat, geradezu missbräuchlich sei, d.h. gegen Treu und Glauben verstosse und auch deshalb keinen Schutz verdiene, kann dahingestellt bleiben. Für die Abweisung der Beschwerde genügt, dass die vom Obergericht vertretene Annahme, die Klausel schliesse den ordentlichen Gerichtsstand des Wohnsitzes des Beklagten nicht aus, dem Vorwurfe der Willkür standhält.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