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508</w:t>
      </w:r>
    </w:p>
    <w:p>
      <w:r>
        <w:t>Bundesgericht (BGE), 1963-12-13, DE</w:t>
      </w:r>
    </w:p>
    <w:p>
      <w:r>
        <w:rPr>
          <w:b/>
        </w:rPr>
        <w:t xml:space="preserve">Quelle: </w:t>
      </w:r>
      <w:r>
        <w:t>https://mcp.opencaselaw.ch/entscheid/bge_BGE_89_I_508</w:t>
      </w:r>
    </w:p>
    <w:p>
      <w:r>
        <w:t>FR: ATF 89 I 508</w:t>
      </w:r>
    </w:p>
    <w:p>
      <w:r>
        <w:t>IT: DTF 89 I 508</w:t>
      </w:r>
    </w:p>
    <w:p>
      <w:pPr>
        <w:pStyle w:val="Heading2"/>
      </w:pPr>
      <w:r>
        <w:t>Regeste</w:t>
      </w:r>
    </w:p>
    <w:p>
      <w:r>
        <w:t>Regeste Rechtsmittel im Zollstrafverfahren. Behandlung einer gegen die Strafverfügung erhobenen "Beschwerde" als Einsprache, mit der die Beurteilung durch den Strafrichter verlangt wird.</w:t>
      </w:r>
    </w:p>
    <w:p>
      <w:r>
        <w:t>Regeste Voies de droit dans la procédure pénale douanière. Traitement, comme opposition, d'un "recours" formé contre le prononcé administratif et tendant à faire déférer la cause au juge pénal.</w:t>
      </w:r>
    </w:p>
    <w:p>
      <w:r>
        <w:t>Regesto Rimedi giuridici nella procedura penale doganale. Trattazione come opposizione di un "ricorso" presentato contro la decisione amministrativa, tendente a far deferire la causa al giudice penale.</w:t>
      </w:r>
    </w:p>
    <w:p>
      <w:pPr>
        <w:pStyle w:val="Heading2"/>
      </w:pPr>
      <w:r>
        <w:t>Erwägungen</w:t>
      </w:r>
    </w:p>
    <w:p>
      <w:r>
        <w:rPr>
          <w:b/>
        </w:rPr>
        <w:t>E. 1</w:t>
      </w:r>
    </w:p>
    <w:p>
      <w:r>
        <w:t>Nach Art. 100 Abs. 4 ZG ist die solidarische Haftbarkeit des Auftraggebers oder Geschäftsherrn für Zollbussen in der Strafverfügung oder im Gerichtsurteil (Urteil des durch Einsprache angerufenen Strafrichters, vgl. Art. 95 ZG ) festzustellen; gegen ihre Feststellung in der Strafverfügung ist die Beschwerde gegeben. Das ist heute die Verwaltungsgerichtsbeschwerde nach Art. 99 Ziff. VIII OG . Nur im genannten Umfang, d.h. nur hinsichtlich der solidarischen Haftbarkeit und nur gegen deren Feststellung in der Strafverfügung, kommt die Beschwerde an das Bundesgericht als Verwaltungsgericht in Betracht. Wird gegen die Strafverfügung Einsprache erhoben und damit die Beurteilung durch den Strafrichter verlangt, so hat BGE 89 I 508 S. 510 dieser auch über die solidarische Haftbarkeit zu entscheiden ( Art. 306 BStP ) und ist die Verwaltungsgerichtsbeschwerde ausgeschlossen.</w:t>
      </w:r>
    </w:p>
    <w:p>
      <w:r>
        <w:rPr>
          <w:b/>
        </w:rPr>
        <w:t>E. 2</w:t>
      </w:r>
    </w:p>
    <w:p>
      <w:r>
        <w:t>Es fragt sich daher, ob die - binnen der 20tägigen Frist des Art. 95 ZG erhobene - "Beschwerde" der SESA gegen die Strafverfügung nicht als Einsprache zu behandeln ist. Für die Bestimmung des wirklichen Charakters der Eingabe ist nicht deren Bezeichnung, sondern ihr Inhalt massgebend, zumal die Ordnung der Rechtsmittel im Zollstrafverfahren nicht einfach ist und namentlich von einem Ausländer nicht ohne weiteres überblickt werden kann. Die SESA bestreitet in ihrer Eingabe ausdrücklich die Richtigkeit des von der Verwaltung festgehaltenen Tatbestandes und behauptet, die Voraussetzungen der formlosen Zwischenabfertigung seien erfüllt gewesen; sie ficht die Busse "im Gesamtumfange" und als "vollständig unangebracht" an. Das von ihr eingelegte Rechtsmittel richtet sich mithin unzweifelhaft nicht nur gegen die Höhe der Busse und die solidarische Haftbarkeit, sondern gegen die Büssung überhaupt und ist deshalb als Einsprache, mit welcher die Beurteilung durch den Strafrichter verlangt wird, zu betrachten. Freilich bezeichnet Art. 95 ZG - im Gegensatz zu Art. 298 BStP , der ausdrücklich auch den "Mitverantwortlichen" (d.h. die solidarisch haftbare Person) nennt - nur den "Angeschuldigten" als einspracheberechtigt. Indessen kann im vorliegenden Fall offen gelassen werden, ob auch der Mitverantwortliche zur Einsprache legitimiert sei; denn selbst wenn die Frage verneint wird, ist zu beachten, dass die SESA das Rechtsmittel ausdrücklich auch im Namen und Auftrag des Angeschuldigten Peter Kaiser ergriffen hat. Ist somit die Eingabe als Einsprache zu behandeln, so hat der Strafrichter auch über die solidarische Haftbarkeit zu urteilen und bleibt fürdieVerwaltungsgerichtsbeschwerde kein Raum. BGE 89 I 508 S. 511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