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459</w:t>
      </w:r>
    </w:p>
    <w:p>
      <w:r>
        <w:t>Bundesgericht (BGE), 1963-12-04, DE</w:t>
      </w:r>
    </w:p>
    <w:p>
      <w:r>
        <w:rPr>
          <w:b/>
        </w:rPr>
        <w:t xml:space="preserve">Quelle: </w:t>
      </w:r>
      <w:r>
        <w:t>https://mcp.opencaselaw.ch/entscheid/bge_BGE_89_I_459</w:t>
      </w:r>
    </w:p>
    <w:p>
      <w:r>
        <w:t>FR: ATF 89 I 459</w:t>
      </w:r>
    </w:p>
    <w:p>
      <w:r>
        <w:t>IT: DTF 89 I 459</w:t>
      </w:r>
    </w:p>
    <w:p>
      <w:pPr>
        <w:pStyle w:val="Heading2"/>
      </w:pPr>
      <w:r>
        <w:t>Regeste</w:t>
      </w:r>
    </w:p>
    <w:p>
      <w:r>
        <w:t>Regeste Doppelbesteuerung; Stempelabgaben. Wenn eine Urkunde einer nach dem beurkundeten Wert bemessenen Stempelabgabe unterliegt und in verschiedenen Kantonen unterzeichnet worden ist, steht das Recht zur Abgabeerhebung demjenigen Kanton zu, auf dessen Gebiet die letzte Unterschrift auf die Urkunde gesetzt worden ist.</w:t>
      </w:r>
    </w:p>
    <w:p>
      <w:r>
        <w:t>Regeste Double imposition, art. 46 al. 2 Cst. Lorsqu'un acte écrit peut être frappé d'un droit de timbre proportionnel et qu'il a été signé dans divers cantons, la souveraineté fiscale appartient à celui d'entre eux où la dernière signature a été donnée.</w:t>
      </w:r>
    </w:p>
    <w:p>
      <w:r>
        <w:t>Regesto Doppia imposizione, art. 46 cpv. 2 CF. Quando un atto scritto è soggetto a un diritto di bollo proporzionale ed è stato firmato in diversi Cantoni, la sovranità fiscale spetta a quel Cantone nel cui territorio è stata apposta l'ultima firma.</w:t>
      </w:r>
    </w:p>
    <w:p>
      <w:pPr>
        <w:pStyle w:val="Heading2"/>
      </w:pPr>
      <w:r>
        <w:t>Volltext</w:t>
      </w:r>
    </w:p>
    <w:p>
      <w:r>
        <w:t>Bundesgericht (BGE) Band I 1963 BGE 89 I 459 Tribunal fédéral (ATF) Volume I 1963 BGE 89 I 459 Tribunale federale (DTF) Volume Ia 1963 BGE 89 I 459</w:t>
      </w:r>
    </w:p>
    <w:p>
      <w:r>
        <w:t>Regeste Doppelbesteuerung; Stempelabgaben. Wenn eine Urkunde einer nach dem beurkundeten Wert bemessenen Stempelabgabe unterliegt und in verschiedenen Kantonen unterzeichnet worden ist, steht das Recht zur Abgabeerhebung demjenigen Kanton zu, auf dessen Gebiet die letzte Unterschrift auf die Urkunde gesetzt worden ist. Regeste Double imposition, art. 46 al. 2 Cst. Lorsqu'un acte écrit peut être frappé d'un droit de timbre proportionnel et qu'il a été signé dans divers cantons, la souveraineté fiscale appartient à celui d'entre eux où la dernière signature a été donnée. Regesto Doppia imposizione, art. 46 cpv. 2 CF. Quando un atto scritto è soggetto a un diritto di bollo proporzionale ed è stato firmato in diversi Cantoni, la sovranità fiscale spetta a quel Cantone nel cui territorio è stata apposta l'ultima firma.</w:t>
      </w:r>
    </w:p>
    <w:p>
      <w:r>
        <w:t>Urteilskopf 89 I 459 65. Extrait de l'arrêt du 4 décembre 1963 dans la cause Cofinance SA contre Bureau d'enregistrement de Sion. Regeste Doppelbesteuerung; Stempelabgaben. Wenn eine Urkunde einer nach dem beurkundeten Wert bemessenen Stempelabgabe unterliegt und in verschiedenen Kantonen unterzeichnet worden ist, steht das Recht zur Abgabeerhebung demjenigen Kanton zu, auf dessen Gebiet die letzte Unterschrift auf die Urkunde gesetzt worden ist. Erwägungen ab Seite 459 BGE 89 I 459 S. 459 La somme de 962 fr. 20 réclamée à la recourante est un droit de timbre proportionnel à la valeur constatée dans un acte écrit. Selon la jurisprudence, un tel droit constitue un impôt auquel l'art. 46 al 2 Cst. est applicable. Il ne peut être perçu que par le canton sur le territoire duquel l'acte écrit a été créé, c'est-à-dire rédigé et signé (RO 86 I 221/222, 81 I 24). En posant ce principe, la jurisprudence entend attribuer la souveraineté fiscale au canton où l'acte est devenu parfait. Lorsque cet acte doit être signé par plusieurs personnes, il ne devient parfait - toutes autres conditions étant supposées remplies - que par l'apposition de la dernière signature. S'il a été signé dans divers cantons, la souveraineté fiscale appartient donc à celui d'entre eux où la dernière signature a été donnée. Il n'est pas nécessaire de rechercher aujourd'hui comment devrait être résolu le cas où il serait impossible de déterminer en quel endroit l'acte écrit a été signé en dernier lieu.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