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233</w:t>
      </w:r>
    </w:p>
    <w:p>
      <w:r>
        <w:t>Bundesgericht (BGE), 1963-01-01, DE</w:t>
      </w:r>
    </w:p>
    <w:p>
      <w:r>
        <w:rPr>
          <w:b/>
        </w:rPr>
        <w:t xml:space="preserve">Quelle: </w:t>
      </w:r>
      <w:r>
        <w:t>https://mcp.opencaselaw.ch/entscheid/bge_BGE_89_I_233</w:t>
      </w:r>
    </w:p>
    <w:p>
      <w:r>
        <w:t>FR: ATF 89 I 233</w:t>
      </w:r>
    </w:p>
    <w:p>
      <w:r>
        <w:t>IT: DTF 89 I 233</w:t>
      </w:r>
    </w:p>
    <w:p>
      <w:pPr>
        <w:pStyle w:val="Heading2"/>
      </w:pPr>
      <w:r>
        <w:t>Regeste</w:t>
      </w:r>
    </w:p>
    <w:p>
      <w:r>
        <w:t>Regeste Art. 88 OG, Art. 4 BV. 1. Der Private, dem eine Aufgabe der öffentlichen Verwaltung zur entgeltlichen Besorgung übertragen worden ist, kann sich gegen den Entzug dieser Funktion mit der staatsrechtlichen Beschwerde wegen Verletzung des Art. 4 BV zur Wehr setzen (Erw. 2). 2. Rechtliches Gehör im Verwaltungsverfahren: Der Dritte, dessen rechtlich geschützte Interessen durch die im Verfahren zu treffende Verfügung unmittelbar berührt werden, hat Anspruch darauf, im Verfahren gehört zu werden (Erw. 3). 3. Willkürliche Umteilung von Tierbeständen, die einem Tierarzt im Tuberkulose- und Bangbekämpfungsverfahren zur Kontrolle zugewiesen worden sind? (Erw. 4).</w:t>
      </w:r>
    </w:p>
    <w:p>
      <w:r>
        <w:t>Regeste Art. 88 OJ, art. 4 Cst. 1. Le particulier, auquel une tâche de l'administration publique est confiée pour qu'il s'en occupe contre rémunération, a qualité pour s'opposer par la voie du recours de droit public à ce que cette fonction lui soit retirée (consid. 2). 2. Droit d'être entendu dans la procédure administrative: le tiers dont les intérêts juridiquement protégés sont directement atteints par la décision qui doit être prise dans la procédure a le droit d'être entendu au cours de cette dernière (consid. 3). 3. Répartition arbitraire des effectifs de bétail dont le contrôle est attribué à un vétérinaire dans la lutte contre la tuberculose et la fièvre de Bang (consid. 4)?</w:t>
      </w:r>
    </w:p>
    <w:p>
      <w:r>
        <w:t>Regesto Art. 88 OG, art. 4 CF. 1. Il privato, al quale è stata affidata una funzione di pubblica amministrazione da svolgere verso rimunerazione, ha qualità per opporsi, mediante ricorso di diritto pubblico (per violazione dell'art. 4 CF), contro la revoca di questa funzione (consid. 2). 2. Diritto di essere sentito nella procedura amministrativa: il terzo, i cui interessi giuridicamente protetti sono direttamente compromessi dalla decisione da prendere nella procedura, ha il diritto di essere sentito nel corso di quest'ultima (consid. 3). 3. Ripartizione arbitraria dei capi di bestiame il cui controllo è stato assegnato a un veterinario nella lotta contro la tubercolosi e la febbre di Bang (consid. 4)?</w:t>
      </w:r>
    </w:p>
    <w:p>
      <w:pPr>
        <w:pStyle w:val="Heading2"/>
      </w:pPr>
      <w:r>
        <w:t>Erwägungen</w:t>
      </w:r>
    </w:p>
    <w:p>
      <w:r>
        <w:rPr>
          <w:b/>
        </w:rPr>
        <w:t>E. 1</w:t>
      </w:r>
    </w:p>
    <w:p>
      <w:r>
        <w:t>Nach Art. 2 der Vollziehungsverordnung zum Bundesgesetz über die Bekämpfung der Rindertuberkulose vom 22. Dezember 1950 ist der Vollzug der Massnahmen, die das Gesetz als "Verfahren" bezeichnet (d.h. die Untersuchung der Bestände, die Ausmerzung oder Absonderung tuberkulöser Tiere sowie der Schutz und die Erhaltung tuberkulosefreier Bestände) Sache der Kantone. Der Vollzug des Bundesratsbeschlusses über die Bekämpfung des Rinderabortus Bang obliegt gemäss dessen Art. 9 gleichfalls den Kantonen. Die vorliegende Streitsache betrifft die Auslegung und Anwendung des zum Vollzuge der genannten Erlasse aufgestellten kantonalen Rechts. Eine Beschwerde an den Bundesrat im Sinne von Art. 125 Abs. 1 lit. b OG fällt demzufolge ausser Betracht. Die staatsrechtliche Beschwerde an das Bundesgericht erweist sich damit grundsätzlich als zulässig.</w:t>
      </w:r>
    </w:p>
    <w:p>
      <w:r>
        <w:rPr>
          <w:b/>
        </w:rPr>
        <w:t>E. 2</w:t>
      </w:r>
    </w:p>
    <w:p>
      <w:r>
        <w:t>Die Legitimation zur staatsrechtlichen Beschwerde richtet sich nicht danach, ob der Beschwerdeführer im kantonalen Verfahren Parteistellung hatte, sondern ausschliesslich nach dem OG ( BGE 86 I 102 Erw. 3 mit Verweisungen). Art. 88 OG gewährt das Recht der Beschwerdeführung Bürgern (Privaten) und Korporationen bezüglich solcher Rechtsverletzungen, die sie durch allgemein verbindliche Erlasse oder sie persönlich treffende Verfügungen erlitten haben. Dem Bürger und der Korporation steht die staatsrechtliche Beschwerde somit lediglich zur Wahrung ihrer eigenen Belange zu und zwar nur, wenn ein rechtlich BGE 89 I 233 S. 239 erhebliches Interesse verletzt worden ist, das ihnen auf dem Gebiet zukommt, welches die von ihnen angerufrufene Verfassungsbestimmung beschlägt ( BGE 86 I 102 Erw. 3); zur Wahrung allgemeiner öffentlicher Interessen wie auch zur Verfolgung bloss tatsächlicher Interessen ist die staatsrechtliche Beschwerde hingegen nicht gegeben ( BGE 86 I 284 mit Verweisungen, BGE 88 I 179 ). Der Beschwerdegegner macht geltend, dem Beschwerdeführer fehle die Legitimation zur Beschwerde, weil ihm kein Rechtsanspruch auf Übernahme der amtlichen Funktion eines Kontrolltierarztes zustehe, so dass ihm aus dem angefochtenen Entscheid kein Rechtsnachteil erwachse. Dieser Betrachtungsweise kann nicht gefolgt werden. Richtig ist zwar, dass ein im Kanton St. Gallen niedergelassener praktizierender Tierarzt keinen Anspruch darauf hat, als Kontrolltierarzt bezeichnet zu werden. Wird er aber als solcher eingesetzt, so werden damit zwischen dem Kanton und ihm Rechtsbeziehungen geschaffen, die beiderseitige Rechte und Verpflichtungen in sich schliessen. Diese Rechtsbeziehungen sind sowohl im tierseuchenpolizeilichen Interesse als auch im Interesse des einzelnen Kontrolltierarztes auf eine gewisse Dauer angelegt; der Regierungsrat spricht im angefochtenen Beschluss sogar von einer Besitzstandsgarantie zu Gunsten der Kontrolltierärzte. Ob diese Wendung nicht zu weit gehe, kann offen bleiben; entscheidend ist, dass dem bestallten Tierarzt jedenfalls ein Rechtsanspruch darauf zuzubilligen ist, dass der Kanton die durch die Ernennung zum Kontrolltierarzt begründeten Rechtsbeziehungen nicht in gesetzwidriger Weise oder unter Missbrauch des behördlichen Ermessens einseitig auflöse. Kommt es, wie hier behauptet wird, zu einem solchen Eingriff, so stehen deshalb nicht nur tatsächliche, sondern auch rechtlich erhebliche Interessen des Kontrolltierarztes auf dem Spiel. Der Beschwerdeführer ist mithin zur Beschwerde wegen Verletzung des Art. 4 BV legitimiert.</w:t>
      </w:r>
    </w:p>
    <w:p>
      <w:r>
        <w:rPr>
          <w:b/>
        </w:rPr>
        <w:t>E. 3</w:t>
      </w:r>
    </w:p>
    <w:p>
      <w:r>
        <w:t>Der Beschwerdeführer rügt in erster Linie eine BGE 89 I 233 S. 240 Verweigerung des rechtlichen Gehörs, die er darin erblickt, dass der Regierungsrat ihm die Rekursschrift des Beschwerdegegners nicht zur Vernehmlassung zugestellt habe. Art. 188 des st. gallischen Organisationsgesetzes (OrgG) vom 29. Dezember 1947 schreibt in seinem ersten Satze vor: "Sind der Behörde am Verfahren nicht beteiligte Personen bekannt, deren rechtlich geschützte Interessen durch die zu treffende Verfügung unmittelbar berührt werden, so hat sie ihnen von Amtes wegen Gelegenheit zur Stellungnahme zu geben". Diese Bestimmung gilt nach Art. 185 OrgG vorbehältlich abweichender Vorschriften anderer Gesetze (die hier fehlen) für alle Verfahren vor den Verwaltungsbehörden des Kantons, also auch für das in Art. 202 OrgG vorgesehene Rekursverfahren vor dem Regierungsrat als der obersten Verwaltungsbehörde des Kantons (Art. 60 KV). Im vorliegenden Fall hatte der Beschwerdegegner im Rekursverfahren eine Zuteilung von Kontrollbeständen zu Lasten des Beschwerdeführers verlangt. Die Behörde konnte es sich daher nicht verhehlen, dass der Beschwerdeführer durch die zu treffende Verfügung unmittelbar in seinen rechtlich geschützten Interessen berührt werde. Sie war darum nach Art. 188 OrgG (wie auch unmittelbar auf Grund von Art. 4 BV ) gehalten, ihn im Rekursverfahren anzuhören. Der Regierungsrat bestreitet das nicht; er macht indessen geltend, der Beschwerdeführer habe Gelegenheit erhalten, seinen Standpunkt in dieser Sache bekannt zu geben, indem er auf den 9. Mai 1962 zu einer Besprechung in das Finanzdepartement eingeladen worden sei, das gemäss Art. 32 Abs. 4 des Geschäftsreglementes des Regierungsrates und der Staatskanzlei vom 7. Dezember 1951 den Rekurs zu prüfen und darüber Antrag zu stellen gehabt habe; spätestens anlässlich dieser Besprechung habe der zuständige Sachbearbeiter Dr. Brühwiler den Beschwerdeführer über den wesentlichen Inhalt der Rekurseingabe aufgeklärt. Auf eine Anfrage des Instruktionsrichters hin BGE 89 I 233 S. 241 bestätigte Dr. Brühwiler, dass der Beschwerdeführer vom Rekursantrag Kenntnis gehabt habe und dass er anlässlich der erwähnten Besprechung seinen Standpunkt dargelegt habe; auch habe er wiederholt mit ihm, Dr. Brühwiler, telephonisch über die Rekursangelegenheit gesprochen. Auf Grund dieser Darstellungen ist anzunehmen, dass der Beschwerdeführer Gelegenheit erhalten hatte, zum Rekursantrag Stellung zu nehmen. Erweckt auch die formlose Art der Anhörung Bedenken, so liegt darin doch weder eine offensichtliche Gesetzesverletzung noch eine Missachtung des Art. 4 BV , da weder das Organisationsgesetz noch die Verfassung festlegen, in welcher Weise einem Drittbeteiligten das rechtliche Gehör zu gewähren ist.</w:t>
      </w:r>
    </w:p>
    <w:p>
      <w:r>
        <w:rPr>
          <w:b/>
        </w:rPr>
        <w:t>E. 4</w:t>
      </w:r>
    </w:p>
    <w:p>
      <w:r>
        <w:t>Der Beschwerdeführer wirft dem Regierungsrat in materieller Beziehung Willkür vor. Soweit diese Rüge in einer den Anforderungen des Art. 90 Abs. 1 lit. b OG genügenden Weise begründet worden ist, bringt der Beschwerdeführer sinngemäss vor, der Regierungsrat habe sich in völlig unhaltbarer Art über den Umstand hinweggesetzt, dass der Beschwerdegegner seinerzeit das Angebot auf Übernahme der Betreuung von 350 Tieren in Eggersriet abgelehnt habe; der Genannte habe demnach keinen Anspruch auf das ihm bezeigte Entgegenkommen gehabt. Dieser Einwand geht fehl. Nach den Erwägungen des angefochtenen Entscheides lehnte der Beschwerdegegner das betreffende Angebot "im Hinblick auf die geographische Lage" der Gemeinde Eggersriet ab. Der Regierungsrat war sich dabei offensichtlich über den Sinn dieses Hinweises im Klaren: Der Beschwerdegegner befürchtete, dass die Viehbesitzer von Eggersriet nicht den im verhältnismässig weit entfernten St. Gallen praktizierenden Kontrolltierarzt als privaten Tierarzt zuziehen würden, sondern dass sie sich weiterhin an die Tierärzte des benachbarten Heiden halten würden. Dieses Motiv lässt indessen die Ablehnung des erwähnten Angebotes nicht notwendigerweise als ungerechtfertigt erscheinen. Wohl hatte der Beschwerdegegner in erster Linie sein privates Interesse im Auge. Das BGE 89 I 233 S. 242 liegt aber im Wesen der Sache. Wenn der Kanton St. Gallen die Kontrolltätigkeit gegen ein billiges Entgelt den privaten Tierärzten überträgt, so sucht er damit deren privates Interesse an der Ausdehung oder Sicherung ihres Kundenkreises in den Dienst der öffentlichen Aufgabe der Krankheitsbekämpfung zu stellen. Wenn der Beschwerdeführer sich gegen eine Schmälerung seines Kontrollbestandes wehrt, so lässt er sich denn auch seinerseits vor allem von seinem privaten Interesse leiten. Aus dem Verhalten des Beschwerdegegners lässt sich daher nichts gegen eine weitere Zuteilung ableiten. Wenn der Beschwerdegegner, der seine Praxis einige Monate vorher eröffnet hat, auch nach der Neuzuteilung lediglich 1200 Tiere zu kontrollieren hat, während der Kontrollbestand des Beschwerdeführers immer noch 3480 Tiere umfasst, dann ist es jedenfalls nicht an diesem, sich über eine ihm widerfahrene Unbilligkeit zu beklagen. Dass der eine seine Praxis neu eröffnet, der andere dagegen eine solche übernommen hat, stellt, wie der Regierungsrat mit Recht betont, ein fragwürdiges Kriterium für die Verschiedenheit der Zuteilungen dar. Der Regierungsrat handelte durchaus im Rahmen seines pflichtgemässen Ermessens, wenn er diese Ungleichheit, die durch die für ihn nicht verbindlichen "Richtlinien" der kantonalen Veterinärkommission bedingt ist, mit der vorgenommenen Neuzuteilung etwas zu vermindern suchte.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