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219</w:t>
      </w:r>
    </w:p>
    <w:p>
      <w:r>
        <w:t>Bundesgericht (BGE), 1963-01-01, DE</w:t>
      </w:r>
    </w:p>
    <w:p>
      <w:r>
        <w:rPr>
          <w:b/>
        </w:rPr>
        <w:t xml:space="preserve">Quelle: </w:t>
      </w:r>
      <w:r>
        <w:t>https://mcp.opencaselaw.ch/entscheid/bge_BGE_89_I_219</w:t>
      </w:r>
    </w:p>
    <w:p>
      <w:r>
        <w:t>FR: ATF 89 I 219</w:t>
      </w:r>
    </w:p>
    <w:p>
      <w:r>
        <w:t>IT: DTF 89 I 219</w:t>
      </w:r>
    </w:p>
    <w:p>
      <w:pPr>
        <w:pStyle w:val="Heading2"/>
      </w:pPr>
      <w:r>
        <w:t>Regeste</w:t>
      </w:r>
    </w:p>
    <w:p>
      <w:r>
        <w:t>Regeste Handelsregister. Verwendung einer nationalen Bezeichnung im Namen eines einzutragenden Vereins (Art. 47 in Verbindung mit Art. 45 HRegV). Fall einer Vereinigung von Firmen eines bestimmten Wirtschaftszweigs, die sich als "schweizerisch" bezeichnen will. Voraussetzungen der Bewilligung.</w:t>
      </w:r>
    </w:p>
    <w:p>
      <w:r>
        <w:t>Regeste Registre du commerce. Emploi d'une désignation nationale dans le nom d'une association à inscrire (art. 47 combiné avec l'art. 45 ORC). Cas d'un groupement qui réunit des entreprises d'une branche déterminée de l'économie et qui désire s'intituler "suisse". Conditions de l'autorisation.</w:t>
      </w:r>
    </w:p>
    <w:p>
      <w:r>
        <w:t>Regesto Registro di commercio. Uso di una designazione nazionale nel nome di un'associazione da iscrivere (art. 47 combinato con l'art. 45 ORC). Caso di un gruppo che riunisce ditte di una determinata branca dell'economia e che desidera designarsi "svizzero". Presupposti dell'autorizzazione.</w:t>
      </w:r>
    </w:p>
    <w:p>
      <w:pPr>
        <w:pStyle w:val="Heading2"/>
      </w:pPr>
      <w:r>
        <w:t>Erwägungen</w:t>
      </w:r>
    </w:p>
    <w:p>
      <w:r>
        <w:rPr>
          <w:b/>
        </w:rPr>
        <w:t>E. 1</w:t>
      </w:r>
    </w:p>
    <w:p>
      <w:r>
        <w:t>... (Zulässigkeit der Beschwerde).</w:t>
      </w:r>
    </w:p>
    <w:p>
      <w:r>
        <w:rPr>
          <w:b/>
        </w:rPr>
        <w:t>E. 2</w:t>
      </w:r>
    </w:p>
    <w:p>
      <w:r>
        <w:t>Einzutragende Vereine, die nicht ausschliesslich nichtwirtschaftliche Ziele verfolgen, insbesondere die als Vereine konstituierten Berufsverbände, stehen nach Art. 47 HRegV hinsichtlich der Verwendung nationaler und territorialer Bezeichnungen in ihrem Namen unter den Bestimmungen der Art. 45 und 46 HRegV . Die Beschwerdeführerin nimmt selber an, dass sie ein Verein dieser Art ist und dass sich daher nach Art. 45 HRegV bestimmt, ob sie in ihrem Namen die nationale Bezeichnung "Schweizerische" führen dürfe.</w:t>
      </w:r>
    </w:p>
    <w:p>
      <w:r>
        <w:rPr>
          <w:b/>
        </w:rPr>
        <w:t>E. 3</w:t>
      </w:r>
    </w:p>
    <w:p>
      <w:r>
        <w:t>Wie aus Art. 45 HRegV klar hervorgeht, bildet das Verbot der Verwendung nationaler Bezeichnungen in Firmen (und Namen von Vereinen im Sinne von Art. 47) die Regel. Ausnahmen dürfen vom Eidg. Amt für das Handelsregister nur bewilligt werden, wenn sie durch besondere Umstände gerechtfertigt sind. Dem Amt ist darin beizustimmen, dass in Fällen wie dem vorliegenden besondere Umstände, die eine Ausnahme rechtfertigen könnten, nur vorhanden sind, wenn der in Frage stehenden Organisation im betreffenden Wirtschaftszweig für das ganze Gebiet der Schweiz repräsentative Bedeutung zukommt, m.a.W. wenn sie die Landesorganisation dieses Wirtschaftszweiges ist, oder wenn sie, wie in der Vernehmlassung beigefügt wird, eine offizielle oder offiziöse Tätigkeit entfaltet. Würde zugelassen, dass sich eine wirtschaftliche Organisation, die weder die eine noch die andere dieser Voraussetzungen erfüllt, als "schweizerisch" bezeichnet, so würde das Publikum getäuscht. Solche BGE 89 I 219 S. 222 Täuschungen zu vermeiden, gehört zum Zweck der erwähnten Vorschrift ( BGE 72 I 360 ). Die Beschwerdeführerin übt weder eine offizielle noch eine offiziöse Tätigkeit aus und konnte auf Grund der Angaben, die sie selber dem Amt unterbreitet hatte, auch nicht für sich in Anspruch nehmen, dass sie die repräsentative schweizerische Organisation auf dem Gebiet der Tiefkühlung sei. Als Mitglieder fehlten ihr insbesondere die beiden unstreitig bedeutendsten Produzenten von Tiefkühlprodukten in der Schweiz, und ihre Mitgliederzahl war mit 36 noch sehr weit vom Ziel (ca. 1000-3000 Mitglieder) entfernt, das sie sich laut ihrem Gesuch vom 29. November 1962 selber gesetzt hatte. Die der Beschwerdeschrift beigelegte Liste, die den Stand der Mitglieder am 27. März 1963 (nach Erlass des angefochtenen Entscheides) angibt, ist aus prozessualen Gründen unbeachtlich und vermöchte im übrigen keine entscheidende Änderung der Sachlage darzutun.</w:t>
      </w:r>
    </w:p>
    <w:p>
      <w:r>
        <w:rPr>
          <w:b/>
        </w:rPr>
        <w:t>E. 4</w:t>
      </w:r>
    </w:p>
    <w:p>
      <w:r>
        <w:t>Zurückhaltung in der Bewilligung von Ausnahmen ist, wie das Amt zutreffend annimmt, besonders dann geboten, wenn es sich um eine Organisation handelt, die unmittelbar in den Konkurrenzkampf eingreift. Dies trifft hier zu. Die Beschwerdeführerin betreibt zwar nicht selber ein Fabrikations- oder Handelsgeschäft. Sie plant aber u.a. die Einführung eines Gütezeichens, das von ihren Mitgliedern soll gebraucht werden können. Darin liegt, wie das Amt in seiner Vernehmlassung richtig bemerkt, ein Instrument des Konkurrenzkampfes, das sich gegen die Nichtmitglieder richten wird. Dass einstweilen gerade auch die beiden bedeutendsten Hersteller von Tiefkühlprodukten in der Schweiz mit der Vereinigung und ihren Mitgliedern in einem Konkurrenzverhältnis stehen, ergibt sich aus den eigenen Ausführungen der Beschwerdeführerin im Wiedererwägungsgesuch und in der Beschwerdeschrift, wonach die Firmen Birds Eye und Frisco eine Konkurrenzierung durch die Bestrebungen der Beschwerdeführerin befürchten und diese Bestrebungen tatsächlich zu einer solchen Konkurrenzierung BGE 89 I 219 S. 223 führen können. Durch die Verleihung der gewünschten nationalen Bezeichnung würde die Stellung der Beschwerdeführerin und ihrer Mitglieder in diesem Konkurrenzkampf unzweifelhaft gestärkt. Einen solchen Eingriff in den Wettbewerb hat das zuständige Amt zu vermeiden. Es kann keine Rede davon sein, dass der angefochtene Entscheid dazu beitrage, den beiden erwähnten Firmen eine Monopolstellung zu verschaffen, wie am Schluss der Beschwerdeschrift behauptet wird. Vielmehr ist es die Beschwerdeführerin, die mit ihrem Gesuch um Bewilligung einer Ausnahme vom Verbot der Verwendung nationaler Bezeichnungen eine bevorzugte Stellung zu erlangen sucht.</w:t>
      </w:r>
    </w:p>
    <w:p>
      <w:r>
        <w:rPr>
          <w:b/>
        </w:rPr>
        <w:t>E. 5</w:t>
      </w:r>
    </w:p>
    <w:p>
      <w:r>
        <w:t>Das Amt macht in seiner Vernehmlassung ausserdem noch geltend, bei Bewilligung der gewünschten nationalen Bezeichnung könnten die Käufer der mit dem Gütezeichen der Beschwerdeführerin versehenen Erzeugnisse in den falschen Glauben versetzt werden, es handle sich dabei um eine besondere, staatlich oder unter Aufsicht des Staates geprüfte Ware; die Bezeichnung "Schweizerische" könnte das Publikum unter den gegebenen Umständen zur Annahme verleiten, die Beschwerdeführerin sei mit öffentlichen Aufgaben betraut. Zu diesem Argument, das dazu führen könnte, dass der Beschwerdeführerin die gewünschte Bezeichnung entgegen der vom Amt im angefochtenen Entscheid geäusserten Auffassung selbst dann zu verweigern wäre, wenn sie als repräsentative Landesorganisation für den Wirtschaftszweig der Tiefkühlung gelten könnte, braucht heute nicht Stellung genommen zu werden; denn die übrigen vom Amt angeführten Gründe genügen, um seinen Entscheid zu stützen.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