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20</w:t>
      </w:r>
    </w:p>
    <w:p>
      <w:r>
        <w:t>Bundesgericht (BGE), 1963-01-01, DE</w:t>
      </w:r>
    </w:p>
    <w:p>
      <w:r>
        <w:rPr>
          <w:b/>
        </w:rPr>
        <w:t xml:space="preserve">Quelle: </w:t>
      </w:r>
      <w:r>
        <w:t>https://mcp.opencaselaw.ch/entscheid/bge_BGE_89_I_20</w:t>
      </w:r>
    </w:p>
    <w:p>
      <w:r>
        <w:t>FR: ATF 89 I 20</w:t>
      </w:r>
    </w:p>
    <w:p>
      <w:r>
        <w:t>IT: DTF 89 I 20</w:t>
      </w:r>
    </w:p>
    <w:p>
      <w:pPr>
        <w:pStyle w:val="Heading2"/>
      </w:pPr>
      <w:r>
        <w:t>Regeste</w:t>
      </w:r>
    </w:p>
    <w:p>
      <w:r>
        <w:t>Regeste Art. 4 BV. Baubewilligungsverfahren. Es ist nicht willkürlich, wenn der Regierungsrat als Rekursinstanz ein Baugesuch auf Grund des zur Zeit seiner Entscheidung geltenden Gemeindebaureglementes beurteilt und ein von der Gemeinde erlassenes, ihm zur Genehmigung unterbreitetes, aber von ihm (noch) nicht genehmigtes neues Baureglement nicht berücksichtigt, gleichgültig aus welchen Gründen er es (noch) nicht genehmigt hat.</w:t>
      </w:r>
    </w:p>
    <w:p>
      <w:r>
        <w:t>Regeste Art. 4 Cst. Procédure relative à l'octroi des permis de construire. Le Conseil d'Etat agissant comme juridiction de recours ne tombepas dans l'arbitraire lorsqu'il examine une demande de permis de construire sur la base du règlement communal de police des constructions valable au moment de sa décision, sans tenir compte d'un nouveau règlement édicté par la commune, règlement que lui est soumis pour approbation, mais que, pour une raison quelconque, il n'a pas (encore) approuvé.</w:t>
      </w:r>
    </w:p>
    <w:p>
      <w:r>
        <w:t>Regesto Art. 4 CF. Procedura per la concessione di permessi di costruzione. Il Consiglio di Stato che si pronuncia come istanza di ricorso, non commette arbitrio applicando a una domanda di permesso di costruzione il regolamento comunale edilizio in vigore al momento della decisione, senza tener conto di un nuovo regolamento emanato dal comune e sottopostogli per approvazione, ma che, per un motivo qualsiasi, esso non ha (ancora) approvato.</w:t>
      </w:r>
    </w:p>
    <w:p>
      <w:pPr>
        <w:pStyle w:val="Heading2"/>
      </w:pPr>
      <w:r>
        <w:t>Erwägungen</w:t>
      </w:r>
    </w:p>
    <w:p>
      <w:r>
        <w:rPr>
          <w:b/>
        </w:rPr>
        <w:t>E. 1</w:t>
      </w:r>
    </w:p>
    <w:p>
      <w:r>
        <w:t>(Legitimation des Beschwerdeführers; Frage offen gelassen).</w:t>
      </w:r>
    </w:p>
    <w:p>
      <w:r>
        <w:rPr>
          <w:b/>
        </w:rPr>
        <w:t>E. 2</w:t>
      </w:r>
    </w:p>
    <w:p>
      <w:r>
        <w:t>(Verweigerung des rechtlichen Gehörs; Rüge unbegründet).</w:t>
      </w:r>
    </w:p>
    <w:p>
      <w:r>
        <w:rPr>
          <w:b/>
        </w:rPr>
        <w:t>E. 3</w:t>
      </w:r>
    </w:p>
    <w:p>
      <w:r>
        <w:t>In der Sache selbst macht der Beschwerdeführer geltend, der Regierungsrat hätte die vom Beschwerdeführer Thommen nachgesuchte Baubewilligung deshalb verweigern sollen, weil die Ausnützungsziffer des Bauvorhabens mehr als 0,75 betrage. Der Regierungsrat habe BGE 89 I 20 S. 24 diese von der Gemeindeversammlung vom 30. April bzw. 20. August 1962 beschlossene Ausnützungsziffer nicht beachtet und damit willkürlich altes Recht angewendet. In dem in diesem Zusammenhang angerufenen Urteil BGE 87 I 507 ff. hat das Bundesgericht in Erw. 4 unter Hinweis auf zahlreiche frühere Urteile ausgeführt, dass es nicht willkürlich sei, ein Baugesuch nicht nach dem zur Zeit seiner Einreichung gültigen, sondern nach dem später in Kraft getretenen und zur Zeit der endgültigen Entscheidung geltenden Baurecht zu beurteilen. Die Frage, ob es umgekehrt zulässig sei, ein unter der Herrschaft des alten Rechts gestelltes Baugesuch noch nach diesem Recht zu beurteilen, wurde in jenem Urteil nicht berührt. Sie müsste vorliegend nur entschieden werden, wenn das zur Zeit der Einreichung des streitigen Baugesuchs geltende Baurecht bis zum Erlass des angefochtenen Entscheids geändert worden wäre. Das ist jedoch nicht der Fall. Als das Baugesuch im Februar 1962 eingereicht wurde, galt in Dulliken das von der Gemeinde am 23. September 1956 erlassene und vom Regierungsrat am 23. Oktober 1956 genehmigte Baureglement (BRegl). Dieses bestimmte nur die Zahl der Geschosse und deren Höhe sowie die Grenz- und Bauabstände (§§ 21 und 31), enthielt aber keine Vorschriften über die prozentuale Ausnützung des Baugrundes, obwohl das kantonale Baugesetz (BG) die Gemeinden seit 1951 ausdrücklich zum Erlass solcher Vorschriften ermächtigte (§ 7 Ziff. 6 BG). Am 30. April 1962, nach Einreichung des streitigen Baugesuchs und offenbar im Hinblick auf dieses, hat die Gemeindeversammlung dann beschlossen, dem BRegl einen § 39a beizufügen, der die im kantonalen Normalbaureglement und in den Richtlinien dazu vorgeschriebenen Ausnützungsziffern (in der in Frage stehenden Wohnzone III eine solche von 0,75) für die Gemeinde verbindlich erklärte. Dieser § 39a ist indes, wie der Regierungsrat zutreffend und ohne jede Willkür annimmt, nie in Kraft getreten. Nach § 1 Abs. 1 Satz 2 BG unterliegen die Baureglemente der Gemeinden BGE 89 I 20 S. 25 der Genehmigung des Regierungsrates und erhalten durch diese allgemein verbindliche Wirkung, was nichts anderes heissen kann, als dass die Genehmigung konstitutiv wirkt und Gültigkeitserfordernis ist. Dass diese Bestimmung des BG nicht nur für die Aufstellung der Baureglemente, sondern auch für deren Abänderung gilt, ist selbstverständlich (vgl. REINHARDT, Die Gemeindeautonomie nach solothurn. Recht S. 68). Bedurfte aber § 39a der Genehmigung des Regierungsrates, so ist er, da diese Genehmigung durch Beschluss vom 5. Juni 1962 verweigert worden ist, nicht geltendes Recht geworden. Daran ändert auch der Umstand nichts, dass der Regierungsrat in seinem Beschluss die Genehmigung nur aus formellen Gründen verweigert und die Einführung von Ausnützungsziffern in Dulliken keineswegs abgelehnt, sondern im Gegenteil dringend empfohlen hat. Da die Bestimmungen der Gemeindebaureglemente erst mit der regierungsrätlichen Genehmigung verbindlich werden, schliesst der Mangel der Genehmigung das Inkrafttreten aus, gleichgültig aus welchen Gründen sie verweigert wird. Nach der Verweigerung der Genehmigung von § 39a BRegl hat der Gemeinderat ein vollständig neues Baureglement ausgearbeitet, das in der Gemeindeversammlung vom 20. August 1962 angenommen wurde und in § 83 - offenbar im Hinblick auf § 1 BG - bestimmt, dass es nach Genehmigung durch den Regierungsrat in Kraft tritt. Dieses neue Reglement, das in § 38 für die Wohnzonen Ausnützungsziffern von 0,4 (Zone I) bis 0,75 (Zone III) festsetzt, ist jedoch vom Regierungsrat bis zur Ausfällung des angefochtenen Entscheids am 18. Oktober 1962 nicht genehmigt worden. Die Genehmigung wurde, wie eine Anfrage des Instruktionsrichters bei der Staatskanzlei ergab, erst am 11. Dezember 1962 erteilt. Ist es aber erst an diesem Tage in Kraft getreten, so hat der Regierungsrat dadurch, dass er das streitige Baugesuch am 19. Oktober 1962 auf Grund des BRegl vom 25. September 1956 beurteilte, nicht altes, inzwischen ausser Kraft gesetztes, sondern BGE 89 I 20 S. 26 das damals geltende Baurecht angewendet. Damit hat er weder eine Vorschrift des kantonalen Rechts oder einen allgemein feststehenden Rechtsgrundsatz verletzt und sich der Willkür schuldig gemacht, noch hat er sich im Widerspruch zu seinem grundsätzlichen Entscheid 1961 S. 28/29 gesetzt und den Beschwerdeführer rechtsungleich behandelt, denn dort war, anders als hier, das neue Baureglement zwischen der Einreichung des Baugesuchs und der Beurteilung desselben in Kraft getreten. Der Umstand schliesslich, dass der Gemeinderat Dulliken die Weisung des Regierungsrates, dem Beschwerdegegner Thommen die Baubewilligung zu erteilen, bis zur Einreichung der vorliegenden Beschwerde (und infolge der dieser gewährten aufschiebenden Wirkung bis heute) noch nicht erteilt hat, ändert nichts an der Rechtslage, wie sie am 19. Oktober 1962 bestand und für die Beurteilung der staatsrechtlichen Beschwerde massgebend ist. Als unbefriedigend erscheint freilich, dass infolge des angefochtenen Entscheids nun auf dem Grundstück des Beschwerdegegners Thommen mit einer höheren als der inzwischen am 11. Dezember 1962 in Kraft getretenen und für die andern Grundeigentümer der Zone III verbindlichen Ausnützungsziffer von 0,75 gebaut werden darf. Dies hätte der Regierungsrat dadurch vermeiden kÖnnen, dass er das bei ihm durch die Beschwerden Schneiders und Thommens eingeleitete Verfahren bis zur Genehmigung des ihm bereits zu diesem Zweck unterbreiteten Gemeindebaureglements vom 20. August 1962 sistiert und das streitige Baugesuch dann nach diesem neuen Recht beurteilt hätte, was nicht zu beanstanden gewesen wäre (vgl. BGE 87 I 512 Erw. 5). Indessen hat der Beschwerdeführer den Regierungsrat nicht um Sistierung des kantonalen Beschwerdeverfahrens bis zur Genehmigung des neuen Baureglements ersucht, noch macht er mit der staatsrechtlichen Beschwerde geltend, der Regierungsrat wäre von sich aus zu solcher Sistierung verpflichtet gewesen, so dass sich das Bundesgericht mit der Frage nicht zu befassen hat, ob die BGE 89 I 20 S. 27 Sistierung nicht nur angezeigt und zulässig, sondern geboten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