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IV 160</w:t>
      </w:r>
    </w:p>
    <w:p>
      <w:r>
        <w:t>Bundesgericht (BGE), 1963-01-01, DE</w:t>
      </w:r>
    </w:p>
    <w:p>
      <w:r>
        <w:rPr>
          <w:b/>
        </w:rPr>
        <w:t xml:space="preserve">Quelle: </w:t>
      </w:r>
      <w:r>
        <w:t>https://mcp.opencaselaw.ch/entscheid/bge_BGE_89_IV_160</w:t>
      </w:r>
    </w:p>
    <w:p>
      <w:r>
        <w:t>FR: ATF 89 IV 160</w:t>
      </w:r>
    </w:p>
    <w:p>
      <w:r>
        <w:t>IT: DTF 89 IV 160</w:t>
      </w:r>
    </w:p>
    <w:p>
      <w:pPr>
        <w:pStyle w:val="Heading2"/>
      </w:pPr>
      <w:r>
        <w:t>Regeste</w:t>
      </w:r>
    </w:p>
    <w:p>
      <w:r>
        <w:t>Regeste Art. 284 BStP, 76 Ziff. 2. und 110 Abs. 2 ZG, 124 Abs. 1 VV zum ZG. 1. Verjährung von Übertretungen fiskalischer Bundesgesetze gemäss Art. 284 BStP. Die Frist zur Verjährung der Strafverfolgung ruht während des Verfahrens zur Festsetzung des Zollbetrages auch bei Bannbruch im Sinne von Art. 76 Ziff. 2 ZG, jedenfalls dann, wenn der Zollbann nach der Zolltarifnummer bestimmt wird (Erw. 2-5). 2. Zur Wirkung der Beschwerde "für" alle andern zur Beschwerde befugten Personen gemäss Art. 110 Abs. 2 ZG gehört auch die Hemmung der Verfolgungsverjährung (Erw. 6). 3. Den Zollorganen mögliche Erkennbarkeit falscher Deklaration (Erw. 7).</w:t>
      </w:r>
    </w:p>
    <w:p>
      <w:r>
        <w:t>Regeste Art. 284 PPF, 76 ch. 2 et 110 al. 2 LD, 124 al. 1 OD. 1. Prescription de contraventions à des lois fiscales de la Confédération conformément à l'art. 284 PPF. Le délai de prescription de l'action pénale est suspendu pendant la procédure en fixation du droit, même en matière de trafic prohibé selon l'art. 76 ch. 2 LD, en tout cas lorsque le trafic prohibé dépend de l'application de tel article du tarif douanier (consid. 2 à 5). 2. Le recours formé "pour" toutes les autres personnes auxquelles cette voie de droit est ouverte a en particulier pour effet de suspendre la prescription de l'action pénale (consid. 6). 3. Caractère reconnaissable, pour les organes de la douane, de la fausseté d'une déclaration (consid. 7).</w:t>
      </w:r>
    </w:p>
    <w:p>
      <w:r>
        <w:t>Regesto Art. 284 PPF, 76 num. 2 e 110 cpv. 2 LD, 124 cpv. 1 OE della LD. 1. Prescrizione di contravvenzioni a leggi fiscali della Confederazione secondo l'art. 284 PPF. Il termine di prescrizione dell'azione penale è sospeso durante la procedura per la determinazione del dazio, anche per le infrazioni dei divieti di cui all'art. 76 num. 2 LD, in ogni caso quando il divieto è stabilito in una determinata voce della tariffa doganale (consid. 2 al 5). 2. Il ricorso interposto "per" tutte le altre persone che hanno il diritto di ricorrere ha segnatamente per effetto di sospendere la prescrizione dell'azione penale (consid. 6). 3. Riconoscibilità, per le autorità doganali, della falsità di una dichiarazione (consid. 7).</w:t>
      </w:r>
    </w:p>
    <w:p>
      <w:pPr>
        <w:pStyle w:val="Heading2"/>
      </w:pPr>
      <w:r>
        <w:t>Erwägungen</w:t>
      </w:r>
    </w:p>
    <w:p>
      <w:r>
        <w:rPr>
          <w:b/>
        </w:rPr>
        <w:t>E. 1</w:t>
      </w:r>
    </w:p>
    <w:p>
      <w:r>
        <w:t>Nach Art. 284 BStP , der gemäss Art. 279 BStP den inhaltlich übereinstimmenden Art. 83 ZG ersetzt ( BGE 74 IV 26 ), verjähren Übertretungen fiskalischer Bundesgesetze, wozu die Zollvergehen im Sinne des BGE 89 IV 160 S. 163 Art. 73 ZG gehören, in zwei Jahren (Absatz 1), gerechnet vom Tage der Tatbegehung bzw. -beendigung an (Absatz 2). Die Verjährung wird unterbrochen durch jede gegen den Täter gerichtete Verfolgungshandlung (Absatz 3). Die Unterbrechung ist ohne jede zeitliche Begrenzung möglich; für die Verfolgung von Übertretungen fiskalischer Bundesgesetze besteht nur eine relative, keine absolute Verjährungsfrist ( BGE 74 IV 26 ). Die letzte Handlung der Beschwerdegegner im Rahmen des Bannbruches fand am 29. August 1956 statt. Die Untersuchung war abgeschlossen, als Schwegler und Eberle am 4. Januar 1957, Denis am 24. Januar 1957 von den Strafprotokollen Kenntnis genommen hatten und der Untersuchungsbericht des chemischen Laboratoriums der Oberzolldirektion vom 29. März 1957 eingegangen war. Nach den unangefochtenen Feststellungen der Vorinstanz fanden bis zum Erlass der Strafverfügungen vom 7. April 1960, also während über drei Jahren, keine weitern Untersuchungshandlungen mehr statt.</w:t>
      </w:r>
    </w:p>
    <w:p>
      <w:r>
        <w:rPr>
          <w:b/>
        </w:rPr>
        <w:t>E. 2</w:t>
      </w:r>
    </w:p>
    <w:p>
      <w:r>
        <w:t>Dagegen lief in dieser Zeit das am 5. Januar 1957 von Schwegler eingeleitete Beschwerde- und Rekursverfahren gegen die Rückerstattungsverfügung vom 5. November 1956. Es fand am 29. Mai 1959 seinen Abschluss damit, dass die angeblichen Kobaltfilter als Kobalt gemäss Tarif Nummer 878 verzollt wurden. Das Gesetz enthält keine ausdrückliche Bestimmung darüber, ob das Verfahren zur Festsetzung des Zollbetrages eine Verfolgungshandlung im Sinne von Art. 284 Abs. 3 BStP darstellt und damit die Frist für die Verjährung eines Zollvergehens unterbricht oder sie wenigstens hemmt. Dagegen schreibt Art. 101 Abs. 3 ZG vor, dass vor der administrativen Strafverfügung über ein Zollvergehen durch die zuständige Zollbehörde der geschuldete Betrag festzusetzen ist und dann als Grundlage für die Strafzumessung zu dienen hat. Nach Art. 299 Abs. 2 und Art. 305 BStP ist der Erlass der Strafverfügung aufzuschieben, bzw. ist das Strafverfahren einzustellen, wenn der Beschuldigte BGE 89 IV 160 S. 164 die Leistungspflicht durch Beschwerde beim Verwaltungsgericht bestreitet. Daraus hat der Kassationshof in einem Fall der Einfuhr von Goldmünzen ohne Anmeldung zur Verzollung in sinngemässer Auslegung geschlossen, die Verfolgungsverjährung ruhe während des Beschwerdeverfahrens über die Feststellung der Abgabepflicht; die Frage nach der Unterbrechung der Verjährung brauche deshalb nicht mehr gestellt zu werden ( BGE 88 IV 91 Erw. 2). Diese Überlegungen gelten auch hier.</w:t>
      </w:r>
    </w:p>
    <w:p>
      <w:r>
        <w:rPr>
          <w:b/>
        </w:rPr>
        <w:t>E. 3</w:t>
      </w:r>
    </w:p>
    <w:p>
      <w:r>
        <w:t>Richtig ist, dass nach Art. 124 Abs. 1 Satz 2 der Vollziehungsverordnung zum Zollgesetz (BS 6 S. 539) eine Strafverfügung erfolgen kann, trotzdem gegen die Zollfestsetzung Beschwerde erhoben worden ist. Daraus lässt sich aber nicht mit der Vorinstanz ableiten, der Gesetzgeber habe der Strafverfolgungsbehörde ein Mittel in die Hand geben wollen, um die sonst unvermeidliche Verjährung unterbrechen zu können. Vielmehr darf, wie das Obergericht mit Recht bemerkt, eine Leistung vom Bürger in der Regel nicht verlangt werden, solange deren Rechtsgrundlage nicht klargestellt ist. Demgemäss bestimmt auch Art. 101 Abs. 3 ZG , dass erst der rechtskräftig gewordene Zollansatz als Grundlage für die Strafzumessung dient. Die Verfolgungsbehörde ist somit nicht gezwungen, in jedem Beschwerdefall zur Abwendung der Verjährung noch vor Erstellung der Entscheidungsgrundlage eine Strafverfügung zu erlassen. Dazu nötigt sie auch die Kannvorschrift des Art. 124 VVZG nicht.</w:t>
      </w:r>
    </w:p>
    <w:p>
      <w:r>
        <w:rPr>
          <w:b/>
        </w:rPr>
        <w:t>E. 4</w:t>
      </w:r>
    </w:p>
    <w:p>
      <w:r>
        <w:t>Anders als bei der im Bundesgerichtsentscheid 88 IV 87 beurteilten Zollübertretung wird allerdings beim Bannbruch die Strafe gemäss Art. 77 ZG grundsätzlich nicht nach der Höhe des hinterzogenen oder gefährdeten Zolls berechnet. Indessen bedurfte die Ausfuhr von unter Tarifnummer 878 fallendem Kobalt gemäss Verfügung Nr. 7 des eidgenössischen Volkswirtschaftsdepartementes vom 5. April 1955 über die Überwachung der Ausfuhr lebenswichtiger Güter (AS 1955, 411; ersetzt ab 1. Januar 1959 durch Bundesratsbeschluss Nr. 1 vom 23. Dezember BGE 89 IV 160 S. 165 1958 über die Warenausfuhr, AS 1958, 1353, und Verfügung Nr. 1 des eidgenössischen Volkswirtschaftsdepartementes über die Warenausfuhr vom 24. Dezember 1958, AS 1958, 1363) einer besondern Bewilligung. Ob eine solche im vorliegenden Fall erforderlich war, ein Bannbruch also überhaupt vorlag, hing somit wiederum von der Unterstellung unter die Zolltarifnummer ab. Über diese Unterstellung hatte in letzter Instanz und für den Strafrichter verbindlich ( BGE 88 IV 87 ) die Zollrekurskommission zu befinden (Archiv für Schweizerisches Abgaberecht, 5. Band 1936/37 S. 316 Nr. 135). Dass der Entscheid über eine solche Vorfrage nicht von der Strafverfolgungsbehörde selbst getroffen wurde, ist für die Beurteilung der Verjährung bedeutungslos.</w:t>
      </w:r>
    </w:p>
    <w:p>
      <w:r>
        <w:rPr>
          <w:b/>
        </w:rPr>
        <w:t>E. 5</w:t>
      </w:r>
    </w:p>
    <w:p>
      <w:r>
        <w:t>Ebenso wenig kommt darauf etwas an, dass der Entscheid schon im Zusammenhang mit der Einfuhr der Kobaltsendungen gefällt wurde. Die Ware wurde unverändert wieder aus der Schweiz ausgeführt, und die Verfügung der Zollrekurskommission blieb daher für die Frage der anwendbaren Tarifnummer nach wie vor massgebend. Die Pflichtigen haben denn auch bezeichnenderweise keine erneute Veranlagung verlangt. Aus diesen Gründen konnte die Strafverfolgung Schweglers während des von ihm angehobenen Rechtsmittelverfahrens nicht verjähren.</w:t>
      </w:r>
    </w:p>
    <w:p>
      <w:r>
        <w:rPr>
          <w:b/>
        </w:rPr>
        <w:t>E. 6</w:t>
      </w:r>
    </w:p>
    <w:p>
      <w:r>
        <w:t>Nach Art. 110 Abs. 2 ZG wirkt die von einem Berechtigten erhobene Beschwerde auch für alle andern zur Beschwerde befugten Personen. Das Obergericht legt diese Bestimmung dahin aus, ein Obsiegen des Beschwerdeführers wirke nur für und nicht gegen die beteiligten Personen. Nach Art. 299 Abs. 3 BStP fällt in der Tat die Strafverfügung über eine Übertretung fiskalischer Bundesgesetze für alle Beteiligten dahin, wenn der Beschwerdeentscheid den Abgabeanspruch als unbegründet erklärt. Bei der engen Abhängigkeit des Straftatbestandes von der Abgabepflicht drängt es sich aber auf, auch die verjährungshemmende Wirkung des Beschwerdeverfahrens gegen alle BGE 89 IV 160 S. 166 am Strafverfahren Beteiligten eintreten zu lassen (vgl. BGE 88 IV 95 ). Die gegenteilige Lösung liefe auf ein Verbot der reformatio in peius zum Nachteil der am Beschwerdeverfahren nicht Beteiligten hinaus, wozu jede gesetzliche Grundlage fehlt. Die Verjährung ist somit auch für die übrigen Beschwerdegegner nicht eingetreten.</w:t>
      </w:r>
    </w:p>
    <w:p>
      <w:r>
        <w:rPr>
          <w:b/>
        </w:rPr>
        <w:t>E. 7</w:t>
      </w:r>
    </w:p>
    <w:p>
      <w:r>
        <w:t>In der Sache selbst hat das Obergericht angenommen, Schwegler und Eberle hätten die Zollbehörden nicht täuschen können, da die Metallgefässe zu primitiv gewesen seien, als dass sie von den Tarifierungsbeamten für Filter hätten gehalten werden können; es sei für die Zollorgane offenkundig gewesen, dass sie es mit einer Kobaltsendung zu tun hätten. Ein Verbot der Ausfuhr von Waren als Tatbestandsmerkmal des Bannbruches im Sinne des Art. 76 Ziffer 2 ZG verletzt aber schon, wer die Ware unrichtig deklariert, d.h. falsche Angaben macht über ihre Art oder Beschaffenheit oder über andere Tatsachen, die für die Zulässigkeit der Ausfuhr erheblich sind ( BGE 79 IV 87 ). Einer Täuschung von Zollbeamten bedarf es nicht. Wenn die Vorinstanz im übrigen eine Täuschungsabsicht der Beschwerdegegner mit der Feststellung verneint, diese hätten sich um eine korrekte Behandlung der Angelegenheit bemüht (S. 17), so steht dem die Tatsache entgegen, dass sie die Behälter auch vor den schweizerischen Zollbeamten bewusst unwahr als Filter bezeichnet, das Bestimmungsland falsch deklariert und weitere unwahre Einzelheiten angegeben haben. Es kann der Vorinstanz auch insofern nicht gefolgt werden, als sie das Verschulden der Beschwerdegegner im Ergebnis damit verneint, die Zollbeamten hätten Anlass zu Zweifeln behabt und die Unrichtigkeit der von den Beschwerdegegnern 1 und 2 gemachten Angaben ohne weiteres erkennen können. Die Zollorgane müssen sich auf die Richtigkeit der Deklaration verlassen können. Revisionen lassen sich nur bei einem Bruchteil der Sendungen durchführen. Die Rechtsprechung stellt deshalb an die BGE 89 IV 160 S. 167 Zuverlässigkeit der Deklaration hohe Anforderungen (vgl. BGE 87 IV 28 ). Unwahre Angaben, wie sie von den Beschwerdegegnern 1 und 2 gemacht worden sind, entsprechen ihnen nicht und schliessen im allgemeinen eine Schuldlosigkeit im Sinne des Art. 77 Abs. 4 ZG aus. Dispositiv Demnach erkennt der Kassationshof: Die Nichtigkeitsbeschwerde wird gutgeheissen und die Sache zu neuer Beurteilung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