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72</w:t>
      </w:r>
    </w:p>
    <w:p>
      <w:r>
        <w:t>Bundesgericht (BGE), 1963-01-01, DE</w:t>
      </w:r>
    </w:p>
    <w:p>
      <w:r>
        <w:rPr>
          <w:b/>
        </w:rPr>
        <w:t xml:space="preserve">Quelle: </w:t>
      </w:r>
      <w:r>
        <w:t>https://mcp.opencaselaw.ch/entscheid/bge_BGE_89_II_72</w:t>
      </w:r>
    </w:p>
    <w:p>
      <w:r>
        <w:t>FR: ATF 89 II 72</w:t>
      </w:r>
    </w:p>
    <w:p>
      <w:r>
        <w:t>IT: DTF 89 II 72</w:t>
      </w:r>
    </w:p>
    <w:p>
      <w:pPr>
        <w:pStyle w:val="Heading2"/>
      </w:pPr>
      <w:r>
        <w:t>Regeste</w:t>
      </w:r>
    </w:p>
    <w:p>
      <w:r>
        <w:t>Regeste Erbteilung; Ausgleichung nach Art. 626 ZGB. Ausdrückliche Anordnung des Erblassers bei der Zuwendung an den Sohn, dass diese nicht unter Ausgleichungspflicht stehen soll (Erw. 2). Unentgeltliche Zuwendung des Vaters an den Sohn in Form eines negotium mixtum cum donatione; Voraussetzungen objektiver und subjektiver Art (Erw. 3).</w:t>
      </w:r>
    </w:p>
    <w:p>
      <w:r>
        <w:t>Regeste Partage de la succession; obligation de rapporter selon l'art. 626 CC. Dispense de rapport accordée expressément par un père qui remet des biens à son fils (consid. 2). Libéralité du père à son fils sous la forme d'une donation mixte; conditions objectives et subjectives (consid. 3).</w:t>
      </w:r>
    </w:p>
    <w:p>
      <w:r>
        <w:t>Regesto Divisione dell'eredità; obbligo di collazione secondo l'art. 626 CC. Dispensa di collazione espressamente conferita dal padre al figlio trasmettendogli dei beni (consid. 2). Liberalità del padre al figlio in forma di negotium mixtum cum donatione; presupposti oggettivi e soggettivi (consid. 3).</w:t>
      </w:r>
    </w:p>
    <w:p>
      <w:pPr>
        <w:pStyle w:val="Heading2"/>
      </w:pPr>
      <w:r>
        <w:t>Erwägungen</w:t>
      </w:r>
    </w:p>
    <w:p>
      <w:r>
        <w:rPr>
          <w:b/>
        </w:rPr>
        <w:t>E. 1</w:t>
      </w:r>
    </w:p>
    <w:p>
      <w:r>
        <w:t>(Ausführungen darüber, dass sich eine erneute Stellungnahme zu der in BGE 77 II 228 ff. erörterten Frage der grundsätzlichen Ausgleichungspflicht der Nachkommen gegenüber dem überlebenden Ehegatten erübrigt, weil hier ohnehin kein ausgleichungspflichtiger Vorempfang vorliegt.)</w:t>
      </w:r>
    </w:p>
    <w:p>
      <w:r>
        <w:rPr>
          <w:b/>
        </w:rPr>
        <w:t>E. 2</w:t>
      </w:r>
    </w:p>
    <w:p>
      <w:r>
        <w:t>Nach Art. 626 Abs. 2 ZGB kann der Erblasser die Zuwendung im Sinne dieser Bestimmung an den Nachkommen, entgegen der vom Gesetz aufgestellten Vermutung, durch ausdrückliche Erklärung von der Ausgleichungspflicht BGE 89 II 72 S. 77 entbinden. Eine solche Erklärung des Vaters Weckerle nun kann in Ziff. 7 des Kaufvertrags von 1948 erblickt werden. Der Ausdruck "bis dato" ist freilich insofern nicht eindeutig, als er eine einschränkende Auslegung in dem Sinne zulässt, es seien damit die vor diesem Verkaufe erfolgten - unbekannten - Zuwendungen gemeint, aber nicht die in diesem Verkaufe selber allenfalls liegende Zuwendung. Indessen wäre es schwer verständlich, wenn der Vater anlässlich dieses Geschäftsverkaufs an den Sohn ausdrücklich mit allen früheren, nicht genannten Zuwendungen im Hinblick auf den Erbfall hätte reinen Tisch machen, aber gleichzeitig mit der Übereignung selbst eine neue, dereinst "in Betracht und Verrechnung" fallende Zuwendung gemäss Art. 626 machen wollen. Näher liegt zweifellos die Annahme, der Vater habe damals dem Sohne und Geschäftsnachfolger die Geschäftsliegenschaft definitiv und vorbehaltlos, nämlich so übereignen wollen, dass dieser Verkauf einmal auch erbrechtlich keine Rolle mehr spielen sollte. Dafür, dass dies seitens des Erblassers so gemeint war, spricht auch die spätere testamentarische Verfügung vom Jahre 1956, wonach er, nach Vorabsterben des Sohnes und Wiederverheiratung, die Enkelin auf den Pflichtteil setzte, offenbar in der Meinung, dass sie mit dem Vorempfang ihres Vaters, dessen zunehmende Wertsteigerung inzwischen erkennbar geworden war, bereits reichlich empfangen habe und versorgt sei, dass er also jene Zuwendung als etwas endgültiges betrachtete und nicht auch noch deren Einwerfung bezw. Ausgleichung verlangte. Ob die freilich nicht ganz eindeutige Anordnung in Ziffer 7 des Kaufvertrags in Verbindung mit der 1948 gegebenen erbrechtlichen Situation als Ausschluss der Ausgleichungspflicht auch als genügend betrachtet werden könnte, wenn etwa aus der zweiten Ehe des Erblassers noch ein Kind hervorgegangen wäre und mithin die Ausgleichungsfrage zwischen zwei Nachkommen streitig wäre, kann dahingestellt bleiben. Bei den gegebenen Verhältnissen erscheint die vorstehende Auslegung des BGE 89 II 72 S. 78 Willens des Verkäufers und seiner Erklärung im Kaufvertrag einleuchtend und billig.</w:t>
      </w:r>
    </w:p>
    <w:p>
      <w:r>
        <w:rPr>
          <w:b/>
        </w:rPr>
        <w:t>E. 3</w:t>
      </w:r>
    </w:p>
    <w:p>
      <w:r>
        <w:t>Aber selbst wenn man darauf nicht abstellen wollte, müsste der Ausgleichungsanspruch der Witwe aus einem weitern, primären Gesichtspunkte verneint werden. Art. 626 Abs. 1 und 2 ZGB setzen eine unentgeltliche Zuwendung des Erblassers an den Erben voraus. In einem Kaufgeschäft kann eine solche, nämlich eine Schenkung'dann liegen, wenn der wirkliche Wert der Kaufsache den vereinbarten Kaufpreis so erheblich übersteigt, dass ein eigentliches Missverhältnis der beiden Leistungen besteht und die Kaufparteien sich beim Vertragsschlusse dieses Mehrwertes bewusst sind. "Von einem negotium mixtum cum donatione kann nur gesprochen werden, wenn eine Schenkung, bezw. unentgeltliche Zuwendung beabsichtigt ist, in dem Sinne, dass man den Preis bewusst unter dem Wert ansetzt, um die Differenz unentgeltlich dem Käufer zukommen zu lassen" ( BGE 77 II 39 ). Im vorliegenden Falle macht die Berufungsklägerin geltend, die verkaufte Liegenschaft sei schon im Jahre 1948 ein Mehrfaches des vereinbarten Kaufpreises wert gewesen. Eine erhebliche Differenz könnte sich aber nur ergeben, wenn man schon für jenen Zeitpunkt von einem präsumtiven Baulandwert des Bodens ausginge. Nun handelte es sich aber um eine Gärtnereiliegenschaft, die der damals 64-jährige Gärtnermeister Weckerle seinem Sohne und bisherigen Mitarbeiter, ebenfalls Gärtner, samt dem Gärtnereibetriebsinventar, Gerätschaften, Lastwagen, etc. abtrat, also ganz offenbar in der beidseitigen Meinung, dass der Sohn das väterliche Geschäft weiterbetreibe. Die Liegenschaft wurde also als Gärtnerei, nicht als Abbruch- und Bauland übereignet. Als wirklicher Wert ist somit der Wert als Gärtnerei massgebend. Welches dieser Wert im Jahre 1948 war, könnte heute, 15 Jahre später, nur mittelst Expertise ermittelt werden. Ergäbe sich aber noch ein erheblicher Mehrwert, so wüsste man erst noch nicht, ob damals die Kaufparteien sich dessen und der daher in der Abtretung BGE 89 II 72 S. 79 liegenden teilweisen Schenkung bewusst waren und diese gewollt haben. Der Vater hatte damals keinen Anlass, sich hierüber Gedanken zu machen. Er selber war für seine Lebenszeit mit seinem sonstigen Vermögen gesichert und hatte einen höheren Kaufpreis nicht nötig, und erbrechtlich war damals die Frage ohne Belang, da der Käufer der einzige Erbe war. Muss also angenommen werden, dass Vater und Sohn damals mit der Übereignung der Gärtnerei das definitive Ausscheiden dieses Sachwertes aus dem Vermögen des Vaters unter allen Gesichtpunkten, auch dem des Erbrechts, wollten, so kann daran die spätere Ehe des Verkäufers auch für den Erbfall nichts ändern und ein Ausgleichungsanspruch der Witwe nicht angenommen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