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284</w:t>
      </w:r>
    </w:p>
    <w:p>
      <w:r>
        <w:t>Bundesgericht (BGE), 1963-01-01, FR</w:t>
      </w:r>
    </w:p>
    <w:p>
      <w:r>
        <w:rPr>
          <w:b/>
        </w:rPr>
        <w:t xml:space="preserve">Quelle: </w:t>
      </w:r>
      <w:r>
        <w:t>https://mcp.opencaselaw.ch/entscheid/bge_BGE_89_II_284</w:t>
      </w:r>
    </w:p>
    <w:p>
      <w:r>
        <w:t>FR: ATF 89 II 284</w:t>
      </w:r>
    </w:p>
    <w:p>
      <w:r>
        <w:t>IT: DTF 89 II 284</w:t>
      </w:r>
    </w:p>
    <w:p>
      <w:pPr>
        <w:pStyle w:val="Heading2"/>
      </w:pPr>
      <w:r>
        <w:t>Regeste</w:t>
      </w:r>
    </w:p>
    <w:p>
      <w:r>
        <w:t>Regeste Das gemeinschaftliche (korrespektive) Testament ist im schweizerischen Recht nicht anerkannt (Hinweis auf die Rechtsprechung). Ist es zulässig, die Urkunde in ein eigenhändiges Testament des einen Verfügenden umzudeuten (zu konvertieren), wenn sie den Formerfordernissen des Art. 505 ZGB genügt?</w:t>
      </w:r>
    </w:p>
    <w:p>
      <w:r>
        <w:t>Regeste Le testament conjonctif est prohibé en droit suisse (rappel de jurisprudence). Lorsque l'acte répond aux prescriptions de forme de l'art. 505 CC, peut-on admettre sa conversion en testament olographe de l'un des testateurs?</w:t>
      </w:r>
    </w:p>
    <w:p>
      <w:r>
        <w:t>Regesto Il testamento corrispettivo non è ammesso nel diritto svizzero (richiamo della giurisprudenza). Se l'atto adempie le prescrizioni di forma di cui all'art. 505 CC, può tuttavia esserne ammessa la conversione in testamento olografo di uno dei testatori?</w:t>
      </w:r>
    </w:p>
    <w:p>
      <w:pPr>
        <w:pStyle w:val="Heading2"/>
      </w:pPr>
      <w:r>
        <w:t>Erwägungen</w:t>
      </w:r>
    </w:p>
    <w:p>
      <w:r>
        <w:rPr>
          <w:b/>
        </w:rPr>
        <w:t>E. 4</w:t>
      </w:r>
    </w:p>
    <w:p>
      <w:r>
        <w:t>Sans contester que le testament conjonctif soit inadmissible en droit suisse (RO 46 II 18; 47 II 50 ; 70 II 259 ; 76 II 278 /9, consid. 3 a), les recourants prétendent que l'acte du 2 juillet 1950 ne présente pas ce caractère. A leur avis, il s'agirait du testament olographe de dame Fischer-Gotschaux, que son mari se serait contenté d'approuver, sans disposer lui-même de sa propre succession. Assurément, la doctrine admet que le testament conjonctif, invalide comme tel, demeure valable en tant que disposition pour cause de mort de l'un des testateurs, si la forme BGE 89 II 284 S. 286 requise par l'art. 505 CC est observée; encore faut-il que le testament ainsi maintenu ne soit pas lié à l'autre, qui deviendrait caduc, par une dépendance étroite (TUOR, rem. prél. 17 c) sur le pacte successoral; ESCHER, no 9 de l'introduction au titre XIV CC). Il n'est pas nécessaire de dire aujourd'hui si une conversion semblable est admissible en principe. Supposé que la question soit tranchée par l'affirmative, la conversion serait exclue en l'espèce par l'interdépendance des dispositions. En effet, si l'acte est bien écrit, daté et signé de la main de dame Fischer-Gotschaux, il porte aussi la signature de Max Fischer, précédée des mots "lu et approuvé". En outre, il est rédigé à la première personne du pluriel. La simple lecture du texte montre qu'il ne s'agit pas d'un pluriel de majesté. Les termes employés expriment sans équivoque la décision prise d'un commun accord par les deux époux de s'instituer mutuellement comme héritiers universels de toute leur fortune et de partager celle-ci, après le décès du second d'entre eux, par parts égales entre les deux familles. Chacun des époux a disposé ainsi de tous les biens compris dans la communauté d'acquêts instituée par le contrat de mariage. Rien ne permet de dire que dame Fischer-Gotschaux aurait testé de la même manière, sans la participation de son mari. Au contraire, les institutions réciproques apparaissent intimement liées. Dès lors, l'acte ne peut être considéré comme le testament valable de l'épouse. Quant à la conversion du testament conjonctif en un pacte successoral, elle est exclue d'emblée, du fait que la forme prévue par l'art. 512 CC n'a pas été respectée.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