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89 II 278</w:t>
      </w:r>
    </w:p>
    <w:p>
      <w:r>
        <w:t>Bundesgericht (BGE), 1963-01-01, IT</w:t>
      </w:r>
    </w:p>
    <w:p>
      <w:r>
        <w:rPr>
          <w:b/>
        </w:rPr>
        <w:t xml:space="preserve">Quelle: </w:t>
      </w:r>
      <w:r>
        <w:t>https://mcp.opencaselaw.ch/entscheid/bge_BGE_89_II_278</w:t>
      </w:r>
    </w:p>
    <w:p>
      <w:r>
        <w:t>FR: ATF 89 II 278</w:t>
      </w:r>
    </w:p>
    <w:p>
      <w:r>
        <w:t>IT: DTF 89 II 278</w:t>
      </w:r>
    </w:p>
    <w:p>
      <w:pPr>
        <w:pStyle w:val="Heading2"/>
      </w:pPr>
      <w:r>
        <w:t>Regeste</w:t>
      </w:r>
    </w:p>
    <w:p>
      <w:r>
        <w:t>Regeste 1. Der Vermögensüberschuss einer Erbschaft kann Gegenstand eines Vermächtnisses sein. 2. Ein mehreren Personen zugewendetes Vermächtnis ist nur dann gültig, wenn der Erblasser selbst alle Vermächtnisnehmer bezeichnet hat. Grundsätzlich muss er auch selber das Mass der Beteiligung der einzelnen Bedachten bestimmt haben. Immerhin ist beim Fehlen einer abweichenden Angabe die Zuweisung zu gleichen Teilen zu vermuten.</w:t>
      </w:r>
    </w:p>
    <w:p>
      <w:r>
        <w:t>Regeste 1. L'actif d'une succession peut être l'objet d'un legs. 2. Un legs attribué à plusieurs personnes n'est valable que si le disposant a désigné lui-même tous les légataires. En principe, le disposant doit aussi déterminer lui-même la part de chaque légataire. Toutefois, à défaut d'indication contraire, on présume l'attribution à parts égales.</w:t>
      </w:r>
    </w:p>
    <w:p>
      <w:r>
        <w:t>Regesto 1. L'avanzo attivo di una successione può constituire oggetto di legato. 2. Un legato assegnato a più persone è valido soltanto se il disponente ha personalmente designato tutti i legatari. In principio, anche l'interessenza dei singoli legatari deve essere personalmente determinata dal disponente. In mancanza di diversa indicazione si presuine tuttavia l'assegnazione in parti uguali.</w:t>
      </w:r>
    </w:p>
    <w:p>
      <w:pPr>
        <w:pStyle w:val="Heading2"/>
      </w:pPr>
      <w:r>
        <w:t>Erwägungen</w:t>
      </w:r>
    </w:p>
    <w:p>
      <w:r>
        <w:rPr>
          <w:b/>
        </w:rPr>
        <w:t>E. 3</w:t>
      </w:r>
    </w:p>
    <w:p>
      <w:r>
        <w:t>(Inefficacia del codicillo 31 dicembre 1956 come istituzione di erede dell'Istituto Canisio).</w:t>
      </w:r>
    </w:p>
    <w:p>
      <w:r>
        <w:rPr>
          <w:b/>
        </w:rPr>
        <w:t>E. 4</w:t>
      </w:r>
    </w:p>
    <w:p>
      <w:r>
        <w:t>Resta da esaminare se, mediante la suesposta clausola del codicillo 31 dicembre 1956, così come con le due controverse disposizioni del testamento 15 novembre 1956, l'ing. Reali abbia disposto validi legati. Il legato si distingue in modo essenziale dalla istituzione di erede, in quanto non fa conseguire al beneficiario un diritto reale sulla successione, ma soltanto un'azione personale nei confronti dell'onerato o, se questi non è stato designato dal disponente, nei confronti degli eredi legittimi o costituiti (art. 562 CC). Si distingue inoltre nel senso che non può concernere l'intera successione o una frazione della medesima, ma soltanto una determinata cosa o un determinato diritto (art. 484 CC). Il legato può nondimeno essere assegnato in comune a più persone ("gemeinschaftliches Vermächtnis") e riferirsi anche a più oggetti distinti o a una determinata somma di denaro, purchè si tratti di una cosa o di un insieme di cose ("Inbegriffslegat") determinate o perlomeno determinabili nel genere o nella specie e nella quantità (ESCHER N. 5 e 16 e TUOR, N. 13 all'art. 484 CC; A. RIVA, Del legato, pag. 47, 55 e 68 seg.). Per il resto, ove la legge non disponga diversamente, si applicano le norme generali delle disposizioni a causa di morte (TUOR e ESCHER N. 1 all'art. 484 CC). Per l'interpretazione della volontà del de cuius, segnatamente per quanto concerne la designazione del o dei legatari, valgono pertanto i principi esposti a proposito dell'istituzione di erede (RU 68 II 165). a) Non vi è dubbio - ed è peraltro incontestato - che un "avanzo attivo", come quello indicato nella clausola codicillare del 31 dicembre 1956, in quanto inteso come una somma di denaro o come un credito nei confronti degli eredi, può costituire oggetto di legato (cfr. TUOR N. 7 e ESCHER N. 3 all'art. 483 CC). Un siffatto legato sarebbe BGE 89 II 278 S. 282 pertanto valido se fosse stato assegnato a un solo legatario o se, essendo stato assegnato a più legatari, la parte destinata a ciascuno degli stessi fosse stata esplicitamente determinata dal disponente o fosse perlomeno determinabile. Al riguardo è sufficiente costatare che, come suesposto, l'ing. Reali non ha designato tutto il suo avanzo attivo all'Istituto Canisio, perchè ne ha destinato una parte a persone o enti, per la cui scelta si è invalidamente rimesso al giudizio degli esecutori testamentari. Ciò stante, la parte destinata all'Istituto Canisio non essendo neppure indirettamente determinabile, il legato è privo di efficacia legale anche rispetto a quell'istituto. L'avanzo attivo spetta pertanto agli eredi legittimi e più precisamente all'erede attrice. b) Invece, nella prima delle impugnate clausole testamentarie del 16 novembre 1956, l'ing. Reali ha chiaramente designato tutti i legatari: i quattro esecutori testamentari e le 24 persone ivi determinate. Ha inoltre sufficientemente indicato il complesso di cose appartenenti al legato ("Tutti gli altri miei mobili, quadri e oggetti preziosi, che si trovano tanto nel mio appartamento di Lugano, quanto nel Palazzo di Cadro"), distinguendole chiaramente dall'eventuale residuo spettante agli eredi. Qualche dubbio potrebbe tuttavia sorgere sulla determinazione della rispettiva interessenza dei singoli legatari. Stabilendo che detti beni dovevano essere presi in consegna dagli "esecutori testamentari, i quali ne faranno giudiziosa distribuzione a loro stessi in prima linea, poi alle seguenti persone", il disponente, pur non avendo attribuito una maggiore interessenza agli esecutori testamentari, ha nondimeno espresso una preferenza per i medesimi. Ma, come ha rilevato la Corte di appello, è più naturale che una siffatta preferenza sia stata intesa come il conferimento di una facoltà agli esecutori testamentari di scegliere fra diversi lotti di uguale valore; tanto più che il testatore non ha autorizzato i suddetti ad agire discrezionalmente, ma ha BGE 89 II 278 S. 283 loro imposto di fare una "giudiziosa distribuzione". E'quindi d'uopo ravvisare nell'espressione "in prima linea" soltanto una norma di divisione, analoga a quelle previste all'art. 608 CC. Comunque, essendovi dubbio sull'interessenza dei singoli legatari in un legato comune, deve valere la presunzione dell'assegnazione in parti uguali come sostenuto nella dottrina con riferimento, fra altro, alla precisa norma in tal senso del § 2157 BGB (ESCHER N. 5 all'art. 484 CC). La sentenza invocata dall'attrice (RU 81 II 29), concernendo, diversamente dal caso particolare, l'assegnazione di un legato a una cerchia indeterminata di persone ("zur Heranbildung von katholischen Priesterkandidaten") non ha evidentemente alcuna pertinenza con il caso in esame. c) La seconda delle clausole testamentarie impugnate può essere compresa solo se si considera come complementare alla prima. Il disponente vi ha designato chiaramente l'unico legatario, l'Istituto Canisio, e precisato che trattavasi di cose esistenti nelle case di Lugano e di Cadro. Il fatto che nella prima sia disposto di "Tutti gli altri mobili, quadri e oggetti preziosi che si trovano tanto nel mio appartamento di Lugano quanto nel Palazzo di Cadro", mentre che nella seconda siano semplicemente indicati "i mobili ed oggetti"... "che risulteranno ancora esistenti nel palazzo di Lugano e di Cadro" dipende presumibilmente da semplificazione, e non può comunque indurre a credere che si tratti di oggetti posti anche in luoghi diversi. Al riguardo, nulla risulta dagli atti di causa, nè dalle contestazioni delle parti. D'altronde, dopo che il testatore aveva già singolarmente disposto delle sue biblioteche e dei suoi libri, dell'argenteria, di tutta la sua "biancheria, coperte e tappeti" e del suo "spoglio personale"; dopo che aveva disposto di tutti gli altri suoi "mobili, quadri e oggetti preziosi", non poteva rimanere altro se non quello che i precedenti legatari avevano rinunciato ad asportare e, inoltre, eventuali scorte di merci, gli utensili della cucina BGE 89 II 278 S. 284 e dell'eventuale lavanderia, nonchè ogni arnese necessario alla manutenzione della casa. L'incarico conferito agli esecutori testamentari di consegnare all'Istituto Canisio quegli oggetti "che crederanno opportuno", può pertanto essere inteso, non come facoltà di disporre di beni appartenenti alla successione, ma come conferimento di un giudizio sull'opportunità di consegnare a detto istituto oggetti comunque di nessun valore e, eventualmente, in uno stato di manutenzione tale da sconsigliarne la consegna a detto benefico istituto. Si deve pertanto concludere che a riguardo della relativa clausola testamentaria, il disponente ha designato personalmente e in modo sufficientemente determinabile anche gli oggetti del legato. Questo è pertanto valido.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