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273</w:t>
      </w:r>
    </w:p>
    <w:p>
      <w:r>
        <w:t>Bundesgericht (BGE), 1963-01-01, FR</w:t>
      </w:r>
    </w:p>
    <w:p>
      <w:r>
        <w:rPr>
          <w:b/>
        </w:rPr>
        <w:t xml:space="preserve">Quelle: </w:t>
      </w:r>
      <w:r>
        <w:t>https://mcp.opencaselaw.ch/entscheid/bge_BGE_89_II_273</w:t>
      </w:r>
    </w:p>
    <w:p>
      <w:r>
        <w:t>FR: ATF 89 II 273</w:t>
      </w:r>
    </w:p>
    <w:p>
      <w:r>
        <w:t>IT: DTF 89 II 273</w:t>
      </w:r>
    </w:p>
    <w:p>
      <w:pPr>
        <w:pStyle w:val="Heading2"/>
      </w:pPr>
      <w:r>
        <w:t>Regeste</w:t>
      </w:r>
    </w:p>
    <w:p>
      <w:r>
        <w:t>Regeste Vaterschaftsklage. 1. Art. 315 ZGB ist anwendbar, sobald die Merkmale des unzüchtigen Lebenswandels in objektiver Hinsicht gegeben sind, gleichgültig was die Mutter zu ihrem Verhalten bewogen haben mag (Erw. 1). 2. Der unzüchtige Lebenswandel im Sinne dieser Gesetzesnorm hindert die klagende Partei nicht, den Beweis der Vaterschaft des Beklagten durch eine anthropologisch-erbbiologische Expertise zu erbringen (Erw. 2). 3. Ist der Richter kraft Bundesrechtes verpflichtet, eine von der klagenden Partei verlangte anthropologisch-erbbiologische Expertise anzuordnen? Frage offen gelassen. (Erw. 3).</w:t>
      </w:r>
    </w:p>
    <w:p>
      <w:r>
        <w:t>Regeste Action en paternité. 1. L'art. 315 CC est applicable dès que les éléments objectifs de l'inconduite sont réunis, sans égard aux raisons subjectives du comportement de la mère (consid. 1). 2. L'inconduite au sens de cette disposition n'empêche pas la partie demanderesse d'apporter la preuve de la paternité du défendeur au moyen d'une expertise anthropobiologique (consid. 2). 3. Le droit fédéral oblige-t-il le juge à ordonner l'expertise anthropobiologique requise par la partie demanderesse? (Question laissée indécise) (consid. 3).</w:t>
      </w:r>
    </w:p>
    <w:p>
      <w:r>
        <w:t>Regesto Azione di paternità. 1. L'art. 315 CC è applicabile tosto che risultino gli elementi oggettivi della condotta scostumata, senza riguardo ai motivi soggettivi che determinano il comportamento della madre (consid. 1). 2. La condotta scostumata nel senso di questo disposto non impedisce la parte attrice di apportare la prova della paternità del convenuto per mezzo di una perizia antropobiologica (consid. 2). 3. Il diritto federale obbliga il giudice a ordinare la perizia antropobiologica richiesta dalla parte attrice? (Questione lasciata indecisa) (consid. 3).</w:t>
      </w:r>
    </w:p>
    <w:p>
      <w:pPr>
        <w:pStyle w:val="Heading2"/>
      </w:pPr>
      <w:r>
        <w:t>Erwägungen</w:t>
      </w:r>
    </w:p>
    <w:p>
      <w:r>
        <w:rPr>
          <w:b/>
        </w:rPr>
        <w:t>E. 1</w:t>
      </w:r>
    </w:p>
    <w:p>
      <w:r>
        <w:t>Aux termes de l'art. 315 CC, l'action en paternité est rejetée lorsque la mère vivait dans l'inconduite à l'époque de la conception. Selon la jurisprudence, l'inconduite suppose que la mère manifestait habituellement, durant la période considérée, une telle absence de retenue au point de vue sexuel qu'on doit en inférer qu'elle a entretenu des rapports intimes non seulement avec le défendeur, mais encore avec d'autres amants (RO 82 II 270/1; 79 II 26 ). Ces conditions sont réunies en l'espèce. E. M. s'est donnée à plusieurs partenaires pendant un temps très court, commettant ainsi des adultères réitérés, tout en continuant d'entretenir simultanément des relations intimes avec son propre mari. Peu importe que son comportement soit dû à un défaut d'éducation et d'intelligence. Le but visé par l'art. 315 CC n'est pas de punir BGE 89 II 273 S. 276 la mère parce qu'elle se serait conduite d'une manière moralement répréhensible (cf. RO 39 II 14, consid. 3), mais de tirer la conséquence logique d'une attitude qui empêche toute constatation suffisamment certaine au sujet de la paternité. Aussi la disposition précitée doit-elle être appliquée dès que les éléments objectifs de l'inconduite sont réunis, sans égard aux raisons subjectives du comportement de la mère.</w:t>
      </w:r>
    </w:p>
    <w:p>
      <w:r>
        <w:rPr>
          <w:b/>
        </w:rPr>
        <w:t>E. 2</w:t>
      </w:r>
    </w:p>
    <w:p>
      <w:r>
        <w:t>La Cour cantonale estime que, dans l'état actuel de la législation et de la jurisprudence, l'inconduite au sens de l'art. 315 CC entraîne la déchéance de l'action en recherche de paternité tant pour la mère que pour l'enfant, sans que la partie demanderesse puisse tenter de prouver que le défendeur est néanmoins le père de celui-ci. Laissée indécise dans l'arrêt publié au RO 87 II 65 ss., qui admet la preuve directe de la paternité au moyen de l'expertise anthropobiologique, la question doit être résolue en l'espèce. Dans sa jurisprudence antérieure, le Tribunal fédéral a déclaré à plusieurs reprises que les dispositions des art. 314 al. 2 et 315 CC étaient inspirées toutes deux de la même idée, à savoir que l'action dirigée contre le père présumé doit être rejetée lorsque la paternité du défendeur est incertaine; leurs effets différaient toutefois sur un point: dans l'hypothèse visée à l'art. 314 al. 2 CC, la partie demanderesse conservait en principe la faculté de prouver qu'en dépit des doutes sérieux résultant de faits établis, le défendeur était bien le père de l'enfant, tandis que la contrepreuve n'était pas admise en cas d'inconduite de la mère (RO 44 II 26 et références citées; 63 II 13 ; 79 II 27 ). Comme le dit expressément le premier arrêt, cette différence apparaissait plus théorique que pratique, car on pensait alors que la preuve exclue par l'art. 315 CC serait presque toujours impossible (RO 44 II 26). Or les progrès de la science permettent aujourd'hui d'établir la paternité directement, c'est-à-dire sans l'aide de la présomption que l'art. 314 al. 1 CC attache à la cohabitation BGE 89 II 273 S. 277 durant la période critique. En présence de cette situation nouvelle, la distinction qu'opérait la jurisprudence ne se justifie plus. En effet, aucune raison logique ou morale ne commande de soustraire le défendeur à l'obligation de contribuer à l'entretien d'un enfant dont il est reconnu être le père, sous le prétexte que la mère aurait vécu dans l'inconduite à l'époque de la conception. Du moment que la paternité est prouvée directement, l'art. 315 CC, dont le sens n'est pas de punir la mère et encore moins l'enfant, perd sa raison d'être (MERZ, RJB 98 (1962) 414; SCYBOZ'JdT 1961 I 527/8 et 1962 I 206). Il s'ensuit que l'inconduite de la mère ne saurait faire obstacle à l'administration de la preuve directe de la paternité du défendeur au moyen d'une expertise anthropobiologique.</w:t>
      </w:r>
    </w:p>
    <w:p>
      <w:r>
        <w:rPr>
          <w:b/>
        </w:rPr>
        <w:t>E. 3</w:t>
      </w:r>
    </w:p>
    <w:p>
      <w:r>
        <w:t>En l'espèce, le Tribunal cantonal vaudois ne s'est pas prononcé sur la force probante qu'il attribue aux rapports d'expertise figurant au dossier. Il a seulement jugé cette preuve dénuée de pertinence, vu l'inconduite de la mère. La cause doit dès lors lui être renvoyée pour qu'il donne son appréciation sur les conclusions des experts, sans qu'il soit nécessaire d'examiner aujourd'hui si le droit fédéral obligeait les juges de première instance à ordonner l'expertise anthropobiologique qui leur avait été demandée.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