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265</w:t>
      </w:r>
    </w:p>
    <w:p>
      <w:r>
        <w:t>Bundesgericht (BGE), 1963-01-01, FR</w:t>
      </w:r>
    </w:p>
    <w:p>
      <w:r>
        <w:rPr>
          <w:b/>
        </w:rPr>
        <w:t xml:space="preserve">Quelle: </w:t>
      </w:r>
      <w:r>
        <w:t>https://mcp.opencaselaw.ch/entscheid/bge_BGE_89_II_265</w:t>
      </w:r>
    </w:p>
    <w:p>
      <w:r>
        <w:t>FR: ATF 89 II 265</w:t>
      </w:r>
    </w:p>
    <w:p>
      <w:r>
        <w:t>IT: DTF 89 II 265</w:t>
      </w:r>
    </w:p>
    <w:p>
      <w:pPr>
        <w:pStyle w:val="Heading2"/>
      </w:pPr>
      <w:r>
        <w:t>Regeste</w:t>
      </w:r>
    </w:p>
    <w:p>
      <w:r>
        <w:t>Regeste Internationales Privatrecht. Rechtswahl. Berufen sich beide Parteien im Prozess übereinstimmend auf ein bestimmtes Recht, so treffen sie damit nur dann eine Rechtswahl, wenn sie das Bewusstsein und den Willen haben, eine solche Rechtshandlung vorzunehmen. Die Rechtswahl stellt die Ausnahme dar.</w:t>
      </w:r>
    </w:p>
    <w:p>
      <w:r>
        <w:t>Regeste Droit international privé. Election de droit. Lorsque, dans le procès, les parties invoquent de façon concordante une législation déterminée, elles ne font une élection de droit que si elles ont la conscience et la volonté de faire un tel acte juridique. L'élection de droit est l'exception.</w:t>
      </w:r>
    </w:p>
    <w:p>
      <w:r>
        <w:t>Regesto Diritto internazionale privato. Scelta del diritto applicabile. Le parti che, nel processo, invocano in modo concorde una determinata legislazione, fanno una scelta di diritto solo se sono conscie e hanno la volontà di compiere un siffatto atto giuridico. La scelta del diritto applicabile costituisce l'eccezione.</w:t>
      </w:r>
    </w:p>
    <w:p>
      <w:pPr>
        <w:pStyle w:val="Heading2"/>
      </w:pPr>
      <w:r>
        <w:t>Erwägungen</w:t>
      </w:r>
    </w:p>
    <w:p>
      <w:r>
        <w:rPr>
          <w:b/>
        </w:rPr>
        <w:t>E. 1</w:t>
      </w:r>
    </w:p>
    <w:p>
      <w:r>
        <w:t>- D'après les règles du droit international privé suisse, le droit hongrois régit la vente conclue entre les parties. Le vendeur, en effet, est domicilié à Budapest. La Cour cantonale partage cet avis. Elle admet cependant que les parties ont choisi le droit suisse parce qu'elles en ont requis l'application en cours d'instance pour fonder leur prétention et que ni l'une ni l'autre n'ont soutenu qu'un droit étranger fût applicable. a) Lorsque, dans le procès, les parties invoquent de façon concordante une législation déterminée, elles ne la choisissent que si elles en ont la conscience et la volonté et entendent exprimer, par leurs références, leur intention commune (RO 88 II 326; 87 II 200 /201; SCHÖNENBERGER/JÄGGI, Allgemeine Einleitung, nos 208, 210, 243, 245, 248; NIEDERER, Festgabe für den schweizerischen Juristentag 1961, p. 68 à 70; LALIVE, ZSR 1962 I p. 168; VISCHER, Internationales Vertragsrecht, p. 76 à 78). En l'espèce, le problème de droit international privé leur a échappé. Du moins, rien ne permet de penser qu'elles se le sont posé. Il ne ressort ni de l'arrêt attaqué ni du dossier qu'elles aient recherché si le droit hongrois s'appliquait et voulu, dans l'affirmative, que le juge s'en tînt néanmoins aux règles, connues, du droit suisse. L'une et l'autre, au contraire, se sont bornées à citer des dispositions légales ainsi que la doctrine et la jurisprudence suisses. Dans ces circonstances, on ne saurait admettre, avec la Cour cantonale, qu'elles ont résolu la question du droit applicable par un accord conscient et qu'elles ont voulu, par la simple BGE 89 II 265 S. 268 citation de dispositions légales, exprimer une intention commune. Celle-ci n'allait pas de soi; on ne peut penser d'emblée qu'une entreprise hongroise nationalisée renonce à l'application du droit hongrois. La jurisprudence, du reste, refuse de se fonder sur des hypothèses (RO 78 II 78/79). b) La Cour cantonale étaye sa décision par un second argument. Les parties n'ont pas soutenu que le droit étranger fût applicable; ce serait l'indice d'une élection de droit. Ce raisonnement est erroné. En principe, les règles de conflits suisses imposaient l'application du droit hongrois. Si les parties voulaient exceptionnellement, par un choix conscient, vider leur litige selon le droit suisse, elles devaient le dire. Dans le cas contraire, en revanche, elles n'avaient à entreprendre aucune démarche, puisque le juge, normalement, statuait selon le droit étranger; peu importe que la procédure cantonale demande à celui qui fonde sa prétention sur le droit étranger de produire les textes légaux dont il fait état (art. 5 PC gen.). Les parties n'avaient donc l'obligation de s'exprimer - et de le faire clairement - que si elles excluaient l'application de la législation hongroise. Le droit international privé suisse ne connaît pas de règle selon laquelle la lex fori serait applicable si les parties n'invoquent pas le droit étranger.</w:t>
      </w:r>
    </w:p>
    <w:p>
      <w:r>
        <w:rPr>
          <w:b/>
        </w:rPr>
        <w:t>E. 2</w:t>
      </w:r>
    </w:p>
    <w:p>
      <w:r>
        <w:t>- En l'absence d'une élection de droit, la cause ressortit donc à une législation étrangère et le droit suisse a été appliqué à titre supplétif. Pour cette raison, le recours en réforme est irrecevable (art. 43 al. 1 OJ). De par l'art. 59 al. 4 OJ, le recours joint devient caduc.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