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26</w:t>
      </w:r>
    </w:p>
    <w:p>
      <w:r>
        <w:t>Bundesgericht (BGE), 1963-01-01, FR</w:t>
      </w:r>
    </w:p>
    <w:p>
      <w:r>
        <w:rPr>
          <w:b/>
        </w:rPr>
        <w:t xml:space="preserve">Quelle: </w:t>
      </w:r>
      <w:r>
        <w:t>https://mcp.opencaselaw.ch/entscheid/bge_BGE_89_II_26</w:t>
      </w:r>
    </w:p>
    <w:p>
      <w:r>
        <w:t>FR: ATF 89 II 26</w:t>
      </w:r>
    </w:p>
    <w:p>
      <w:r>
        <w:t>IT: DTF 89 II 26</w:t>
      </w:r>
    </w:p>
    <w:p>
      <w:pPr>
        <w:pStyle w:val="Heading2"/>
      </w:pPr>
      <w:r>
        <w:t>Regeste</w:t>
      </w:r>
    </w:p>
    <w:p>
      <w:r>
        <w:t>Regeste Verjährung. 1. Die Wirkungen einer Stundungsvereinbarung sind, deren Natur entsprechend, dieselben wie diejenigen der verjährungsunterbrechenden Handlungen (Erw. 3). 2. Unterbrechungswirkung der vom Richter verfügten Einstellung des Verfahrens (Erw. 4).</w:t>
      </w:r>
    </w:p>
    <w:p>
      <w:r>
        <w:t>Regeste Prescription. 1. La convention de sursis entraîne, de par sa nature, des effets identiques à ceux des actes qui interrompent la prescription (consid. 3). 2. Effet interruptif de la suspension ordonnée par le juge (consid. 4).</w:t>
      </w:r>
    </w:p>
    <w:p>
      <w:r>
        <w:t>Regesto Prescrizione. 1. La convenzione di sospensione comporta, per la sua stessa natura, effetti identici a quelli degli atti che interrompono la prescrizione (consid. 3). 2. Effetto interruttivo della sospensione della procedura ordinata dal giudice (consid. 4).</w:t>
      </w:r>
    </w:p>
    <w:p>
      <w:pPr>
        <w:pStyle w:val="Heading2"/>
      </w:pPr>
      <w:r>
        <w:t>Erwägungen</w:t>
      </w:r>
    </w:p>
    <w:p>
      <w:r>
        <w:rPr>
          <w:b/>
        </w:rPr>
        <w:t>E. 1</w:t>
      </w:r>
    </w:p>
    <w:p>
      <w:r>
        <w:t>Le recours en réforme est recevable exceptionnellement contre la décision préjudicielle attaquée, prise séparément du fond, car une décision finale peut être ainsi provoquée immédiatement; en outre, la durée et les frais de la procédure probatoire sur le mérite de l'action seraient si considérables qu'il convient de les éviter (art. 50 al. 1 OJ; RO 81 II 304, 395).</w:t>
      </w:r>
    </w:p>
    <w:p>
      <w:r>
        <w:rPr>
          <w:b/>
        </w:rPr>
        <w:t>E. 2</w:t>
      </w:r>
    </w:p>
    <w:p>
      <w:r>
        <w:t>On ne sait exactement quelles créances de l'intimée sont soumises à la prescription annale (art. 60 et 67 CO). Dans la mesure où elles le sont, le tribunal trouve que l'exception n'est pas fondée.</w:t>
      </w:r>
    </w:p>
    <w:p>
      <w:r>
        <w:rPr>
          <w:b/>
        </w:rPr>
        <w:t>E. 3</w:t>
      </w:r>
    </w:p>
    <w:p>
      <w:r>
        <w:t>La recourante soutient d'abord que la prescription était déjà encourue avant le 3 mai 1955. Il n'est pas nécessaire de décider si, de par l'art. 135 ch. 2 CO, l'action en constatation de la validité du contrat interrompt la prescription des créances que la partie adverse fonde sur la nullité ou la résolution (OSER/SCHÖNENBERGER, ad art. 135 no 7; BECKER, ad art. 135 no 14; RATHGEB, Mélanges François Guisan, 1950, p. 237 sv., et Recueil de travaux, Université de Lausanne, 1961, p. 173; BEGUELIN, Fiches juridiques suisses, no 815) ni si, en l'espèce, la débitrice a renoncé tacitement à la prescription déjà encourue en signant la convention de propogation de for (art. 141 al. 1 CO). Telle que les pourparlers préliminaires en découvrent le sens, cette convention constitue en effet un sursis contractuel à l'exigibilité des créances réciproques des parties, dans l'esprit desquelles, selon les constatations souveraines de la décision attaquée, il allait sans dire que les prétentions chiffrées étaient réservées et ne seraient formulées qu'une fois connu l'arrêt du Tribunal fédéral sur la validité des accords litigieux. Ce n'est du reste que hasard si Tesa se porta alors demanderesse. Or dans la BGE 89 II 26 S. 30 mesure où le sursis retarde ou supprime l'exigibilité, il retarde aussi le début de la prescription ou supprime les effets que la loi attache à son cours (RO 65 II 232/233). Celui-ci ne reprit donc que le 15 mars 1955 et, le 3 mai suivant, les créances de Miniera n'étaient pas prescrites. (On peut ajouter, par surabondance de droit, que la Cour cantonale a retenu à bon escient l'abus de droit: en concluant la prorogation de for, la demanderesse pouvait légitimement penser que, si le Tribunal fédéral lui donnait raison, la défenderesse ne contesterait pas ses prétentions dans leur principe; RO 69 II 103 sv.)</w:t>
      </w:r>
    </w:p>
    <w:p>
      <w:r>
        <w:rPr>
          <w:b/>
        </w:rPr>
        <w:t>E. 4</w:t>
      </w:r>
    </w:p>
    <w:p>
      <w:r>
        <w:t>Subsidiairement, la recourante prétend que la prescription aurait été en tout cas acquise au cours de la suspension du premier procès civil, décidée le 4 février 1957 par le juge, car l'intimée n'a procédé à aucun acte judiciaire dans l'année qui suivit. Le Tribunal fédéral, interprétant l'art. 138 al. 1 CO, a résolu clairement cette question dans un sens contraire (RO 75 II 232 sv.; 85 II 509 ). Certes, la recourante le prie de reconsidérer son point de vue; mais elle n'avance aucun argument qui n'aurait pas été discuté, de manière convaincante, dans les arrêts cités.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