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185</w:t>
      </w:r>
    </w:p>
    <w:p>
      <w:r>
        <w:t>Bundesgericht (BGE), 1963-01-01, FR</w:t>
      </w:r>
    </w:p>
    <w:p>
      <w:r>
        <w:rPr>
          <w:b/>
        </w:rPr>
        <w:t xml:space="preserve">Quelle: </w:t>
      </w:r>
      <w:r>
        <w:t>https://mcp.opencaselaw.ch/entscheid/bge_BGE_89_II_185</w:t>
      </w:r>
    </w:p>
    <w:p>
      <w:r>
        <w:t>FR: ATF 89 II 185</w:t>
      </w:r>
    </w:p>
    <w:p>
      <w:r>
        <w:t>IT: DTF 89 II 185</w:t>
      </w:r>
    </w:p>
    <w:p>
      <w:pPr>
        <w:pStyle w:val="Heading2"/>
      </w:pPr>
      <w:r>
        <w:t>Regeste</w:t>
      </w:r>
    </w:p>
    <w:p>
      <w:r>
        <w:t>Regeste 1. Die von Art. 50 OG ins Auge gefassten Zwischenentscheide, die nicht sogleich angefochten wurwurden, können noch in einer gegen den Endentscheid eingelegten Berufung beanstandet werden, selbst wenn sie Gegenstand einer selbständigen Berufung hätten bilden können (Erw. 1). 2. Art. 635 Abs. 2 ZGB untersagt dem Zessionar eines Erbannteils nicht, auf Seite des Zedenten an dessen Rechtsstreit mit den Miterben als Intervenient teilzunehmen (Erw. 2). 3. Nach Art. 512 ZGB brauchen die Beurkundungszeugen nicht zu bescheinigen, dass der Erblasser die Urkunde vor ihnen unterzeichnet habe; die Bescheinigung dieser Tatsache durch den Urkundsbeamten genügt (Erw. 3).</w:t>
      </w:r>
    </w:p>
    <w:p>
      <w:r>
        <w:t>Regeste 1. Les décisions incidentes visées à l'art. 50 OJ qui n'ont pas été attaquées immédiatement peuvent encore être critiquées dans un recours en réforme dirigé contre la décision finale, alors même qu'elles auraient été susceptibles d'un recours séparé (consid. 1). 2. L'art. 635 al. 2 CC n'interdit pas au cessionnaire d'une part héréditaire d'intervenir, aux côtés du cédant, dans le procès que celui-ci soutient contre ses cohéritiers (consid. 2). 3. L'art. 512 CC n'exige pas que les deux témoins instrumentaires certifient que le pacte successoral a été signé en leur présence par le disposant; l'attestation du fait par l'officier public qui reçoit l'acte est suffisante (consid. 3).</w:t>
      </w:r>
    </w:p>
    <w:p>
      <w:r>
        <w:t>Regesto 1. Le decisioni incidentali di cui all'art. 50 OG che non sono state impugnate immediatamente possono ancora essere contestate in un ricorso per riforma diretto contro la decisione finale; e ciò anche qualora fossero state suscettibili di un ricorso separato (consid. 1). 2. L'art. 635 cpv. 2 CC non vieta al cessionario di una quota ereditaria di intervenire, accanto al cedente, nel processo che questi ha promosso contro i suoi coeredi (consid. 2). 3. L'art. 512 CC non esige che i due testimoni indicati nel testamento attestino che il contratto successorio è stato firmato in loro presenza dal testatore; l'attestazione del fatto da parte del pubblico ufficiale che riceve l'atto è sufficiente (consid. 3).</w:t>
      </w:r>
    </w:p>
    <w:p>
      <w:pPr>
        <w:pStyle w:val="Heading2"/>
      </w:pPr>
      <w:r>
        <w:t>Erwägungen</w:t>
      </w:r>
    </w:p>
    <w:p>
      <w:r>
        <w:rPr>
          <w:b/>
        </w:rPr>
        <w:t>E. 1</w:t>
      </w:r>
    </w:p>
    <w:p>
      <w:r>
        <w:t>Aux termes de l' art. 48 al. 3 OJ , le recours dirigé contre la décision finale se rapporte aussi à celles qui l'ont précédée. Il en va ainsi même pour les prononcés incidents qui auraient pu être déférés au Tribunal fédéral séparément du fond conformément à l' art. 50 OJ . Lors même que les conditions prévues par cette disposition sont réunies, la partie n'est pas obligée de former immédiatement un recours. Pareille obligation n'est imposée par la loi que pour les décisions incidentes relatives à la compétence (cf. art 49 et 48 al. 3, 2e phrase, OJ). En revanche, les autres prononcés incidents peuvent encore être attaqués avec la décision finale, à moins qu'ils ne l'aient été immédiatement et que le Tribunal fédéral n'ait déjà statué à leur endroit (art. 48 al. 3 in fine OJ; RO 78 II 272, consid. 1). En l'espèce, il n'est pas nécessaire d'examiner si l'arrêt rendu par la Cour de justice le 28 novembre 1961 pouvait être déféré séparément au Tribunal fédéral, selon l' art. 50 OJ . Du moment qu'il n'a pas été attaqué alors, il peut l'être en même temps que la décision finale du 22 janvier 1963. Les conclusions du recours dirigées contre le premier arrêt sont donc recevables. Quant à l'arrêt du 22 janvier 1963, confirmant le jugement de première instance du 27 mars 1962, les recourants ne le critiquent pas dans la mesure où il admet que la succession doit être partagée et ordonne une expertise préparatoire. Ils s'en prennent seulement au rejet de leurs conclusions reconventionnelles, qui tendent à faire prononcer la nullité du pacte successoral. A cet égard en tout cas, l'arrêt précité est une décision finale. Aussi le recours est-il recevable, en vertu de l' art. 48 al. 1 OJ .</w:t>
      </w:r>
    </w:p>
    <w:p>
      <w:r>
        <w:rPr>
          <w:b/>
        </w:rPr>
        <w:t>E. 2</w:t>
      </w:r>
    </w:p>
    <w:p>
      <w:r>
        <w:t>Les recourants s'opposent à l'intervention de l'Etat BGE 89 II 185 S. 189 de Genève dans le procès en partage. La Cour de justice a résolu définitivement la question du point de vue de la procédure genevoise. Ayant pris part au procès devant la dernière autorité cantonale, l'Etat de Genève a le droit de résister au recours en réforme devant le Tribunal fédéral ( art. 53 OJ ). Il reste à examiner si son intervention viole le droit fédéral ( art. 43 OJ ). Selon l' art. 635 al. 2 CC , les conventions sur parts héréditaires passées entre un cohéritier et un tiers "ne donnent à celui-ci aucun droit d'intervenir dans le partage". Cette règle découle de l'incessibilité de la qualité d'héritier. Elle rappelle que le tiers, même cessionnaire, n'acquiert aucun droit dans la succession et ne saurait par conséquent faire valoir des prétentions propres dans le partage. Mais elle n'interdit pas à l'acquéreur d'une part successorale de participer aux côtés du cédant aux discussions que celui-ci mène avec ses cohéritiers ni, le cas échéant, aux procès qu'il conduit contre eux. Le tiers a la faculté de représenter le cédant (RO 87 II 224). Il peut à fortiori agir avec lui pour soutenir ses prétentions et, en cas de procès, ses conclusions. En l'espèce, l'Etat de Genève n'a pas pris de conclusions propres et n'était pas habile à en prendre. Il s'est borné à appuyer les conclusions des héritiers cédants. Dans cette limite, son intervention n'est pas contraire au droit fédéral. Le recours est dès lors mal fondé sur ce point.</w:t>
      </w:r>
    </w:p>
    <w:p>
      <w:r>
        <w:rPr>
          <w:b/>
        </w:rPr>
        <w:t>E. 3</w:t>
      </w:r>
    </w:p>
    <w:p>
      <w:r>
        <w:t>A l'appui de leurs conclusions en nullité du pacte successoral du 13 octobre 1933, les recourants soutiennent que l'acte est entaché d'un vice de forme parce que les deux témoins instrumentaires n'ont pas certifié que les disposantes l'ont signé en leur présence. Seul le notaire qui a reçu l'acte a donné cette attestation. L' art. 512 CC soumet le pacte successoral à la forme du testament public et ajoute, à son second alinéa, que "les parties contractantes déclarent simultanément leur volonté à l'officier public; elles signent l'acte par devant lui et en présence de deux témoins". La jurisprudence a précisé que BGE 89 II 185 S. 190 les contractants doivent apposer leur signature en présence des trois personnes précitées (RO 76 II 277). Conformément à l' art. 501 al. 2 CC , l'attestation signée des témoins doit porter sur les trois points suivants: 1o le disposant a déclaré en leur présence qu'il avait lu le pacte successoral et 2o que celui-ci renfermait ses dernières volontés; 3o il leur a paru capable de disposer. En revanche, la loi n'exige pas expressément que les témoins certifient en outre que les contractants ont signé le pacte en leur présence. Sans doute pareille exigence se déduirait-elle logiquement de l' art. 501 al. 2 CC , en considérant que, dans la confection du testament public, les témoins instrumentaires doivent certifier toutes les opérations qui se déroulent sous leurs yeux. Toutefois, on peut soutenir aussi que leur attestation ne s'étend pas obligatoirement à toutes les conditions de forme exigées par la loi, mais seulement aux plus importantes. Pour les autres, le constat de l'officier public qui a reçu l'acte suffirait. L'examen du texte légal ne procure donc pas à lui seul une solution sûre. Contrairement à l'avis des recourants, l' art. 499 CC n'apporte aucun appui à leur thèse. Il dispose en effet que le testament public est reçu par un notaire, "avec le concours de deux témoins". Or ceux-ci ne prêtent pas nécessairement leur concours à toutes les formalités requises pour confectionner la disposition à cause de mort. De même, les recourants invoquent en vain l'opinion des commentateurs. ESCHER (n. 10 ad art. 512 CC ) se borne à dire que l' art. 512 al. 2 CC requiert la présence des témoins déjà lors de la signature du pacte successoral et pas seulement après celle-ci (à la différence de l' art. 501 CC ). Il ne prétend pas que les témoins devraient attester eux-mêmes leur présence au moment de la signature. TUOR ne se prononce pas non plus en faveur d'une pareille exigence, ni dans la Fiche juridique suisse no 495, ni dans son commentaire (n. 10 ad art. 512 CC ). Certes, il donne en exemple une formule qui inclut l'attestation précitée. Mais il s'empresse d'ajouter, dans une parenthèse, qu'on peut BGE 89 II 185 S. 191 s'en dispenser. On ne saurait en effet aggraver les conditions de forme posées par la loi en exigeant un certificat supplémentaire qui n'est pas nécessaire pour atteindre le but visé (cf. RO 53 II 442; 50 II 118 ). L'interprétation restrictive des dispositions légales relatives à la forme des pactes successoraux résulte de l' art. 11 al. 1 CO , applicable en vertu du renvoi de l' art. 7 CC . Elle est aussi conforme à la favor testamenti, qui incline à choisir, entre deux solutions possibles, la plus favorable au maintien de l'acte. Il est vrai que ce principe concerne en premier lieu l'interprétation des dispositions pour cause de mort elles-mêmes. Il s'applique aussi, cependant, aux règles concernant la forme de ces dispositions (cf. ESCHER, rem. prél. 21 ad titre XIV CC et n. 6 ad art. 512 CC ; TUOR, rem. prél. 16 ad art. 481 ss. CC et n. 1 ad art. 512 CC ). En l'espèce, les recourants ne contestent pas que les contractantes ont apposé leur signature en présence du notaire et des deux témoins, comme elles le déclarent elles-mêmes dans le pacte qu'elles ont souscrit. Le notaire l'a certifié sous sa signature. Son attestation suffit pour que les conditions de forme requises à cet égard par les art. 501 et 512 CC soient respectées.</w:t>
      </w:r>
    </w:p>
    <w:p>
      <w:r>
        <w:rPr>
          <w:b/>
        </w:rPr>
        <w:t>E. 4</w:t>
      </w:r>
    </w:p>
    <w:p>
      <w:r>
        <w:t>La Cour cantonale n'a pas violé non plus les règles fédérales sur le fardeau de la preuve. Il ressort en effet du pacte successoral lui-même qu'il a été signé par les deux disposantes en présence des deux témoins instrumentaires. Comme il s'agit d'un acte authentique, c'est aux recourants qu'il incombait de prouver l'inexactitude éventuelle du fait ainsi constaté ( art. 9 CC ). Or ils n'ont pas offert cette preuve. La constatation visée est dès lors définitive ( art. 63 al. 2 OJ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