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182</w:t>
      </w:r>
    </w:p>
    <w:p>
      <w:r>
        <w:t>Bundesgericht (BGE), 1963-01-01, FR</w:t>
      </w:r>
    </w:p>
    <w:p>
      <w:r>
        <w:rPr>
          <w:b/>
        </w:rPr>
        <w:t xml:space="preserve">Quelle: </w:t>
      </w:r>
      <w:r>
        <w:t>https://mcp.opencaselaw.ch/entscheid/bge_BGE_89_II_182</w:t>
      </w:r>
    </w:p>
    <w:p>
      <w:r>
        <w:t>FR: ATF 89 II 182</w:t>
      </w:r>
    </w:p>
    <w:p>
      <w:r>
        <w:t>IT: DTF 89 II 182</w:t>
      </w:r>
    </w:p>
    <w:p>
      <w:pPr>
        <w:pStyle w:val="Heading2"/>
      </w:pPr>
      <w:r>
        <w:t>Regeste</w:t>
      </w:r>
    </w:p>
    <w:p>
      <w:r>
        <w:t>Regeste Letztwillige Verfügung. Vermächtnis. 1. Unter welchen Voraussetzungen kann man einen offenbaren Irrtum in der Bezeichnung einer Sache richtigstellen (Art. 469 Abs. 3 ZGB)? 2. Lässt sich der wahre Wille des Erblassers in bezug auf die vermachte Sache nicht durch Auslegung ermitteln, so wird das Vermächtnis als unwirksam erklärt.</w:t>
      </w:r>
    </w:p>
    <w:p>
      <w:r>
        <w:t>Regeste Legs testamentaire. 1. Conditions de la rectification d'une erreur manifeste dans la désignation d'une chose, selon l'art. 469 al. 3 CC. 2. Lorsque la volonté du testateur quant à l'objet légué ne peut être dégagée par la voie de l'interprétation, le legs est déclaré inefficace.</w:t>
      </w:r>
    </w:p>
    <w:p>
      <w:r>
        <w:t>Regesto Legato testamentario. 1. Presupposti per la rettificazione di un errore manifesto nella designazione di una cosa, secondo l'art. 469 cpv. 3 CC. 2. Quando la volontà del testatore circa l'oggetto legato non può essere dedotta in via interpretativa, il lascito è dichiarato inefficace.</w:t>
      </w:r>
    </w:p>
    <w:p>
      <w:pPr>
        <w:pStyle w:val="Heading2"/>
      </w:pPr>
      <w:r>
        <w:t>Erwägungen</w:t>
      </w:r>
    </w:p>
    <w:p>
      <w:r>
        <w:rPr>
          <w:b/>
        </w:rPr>
        <w:t>E. 7</w:t>
      </w:r>
    </w:p>
    <w:p>
      <w:r>
        <w:t>... La Cour civile vaudoise a jugé opérante la clause no 1 par laquelle Samuel Graf a légué à la Commune d'Ollon "tout l'actif de Charpigny SA", en laissant expressément l'hypothèque à la charge de sa succession. Elle n'a cependant pas précisé quel était, à ses yeux, l'objet du legs. Elle s'est contentée de dire que l'exécution n'était pas impossible, en indiquant deux voies: la remise à la légataire de l'actif de la société, au sens comptable du terme, ou le transfert des actions. La solution adoptée par les premiers juges est erronée. On ne peut en effet dégager, BGE 89 II 182 S. 184 par la voie de l'interprétation, la volonté exprimée par le testateur. A-t-il voulu léguer les biens qui figurent à l'actif du bilan de la société? Ou le solde actif du compte de pertes et profits - mais en l'espèce, l'exercice s'est soldé par une perte, portée à l'actif au bilan? Ou encore les actions de Charpigny SA qui étaient sa propriété au jour de son décès? Ou même toutes les actions, à charge pour son héritier de racheter celles qui étaient en main de tiers, afin de les remettre à la légataire? Ou les immeubles appartenant à Charpigny SA, francs d'hypothèque? La dernière hypothèse est la plus vraisemblable. On ne saurait toutefois affirmer que telle était la volonté du défunt. De plus, l'exécution de la libéralité dépouillerait la société Charpigny SA de presque tous ses biens et contraindrait ses organes à déposer le bilan (art. 725 CO). Aussi peut-on se demander si pareil legs serait licite. L'incertitude quant à l'objet légué dispense cependant de résoudre la question. Dans son mémoire de réponse au recours, la Commune d'Ollon suggère de rectifier la désignation de l'objet du legs, selon l'art. 469 al. 3 CC. Mais cette disposition légale ne s'applique pas à n'importe quelle erreur commise par le testateur. Elle suppose une erreur manifeste dans la désignation d'une personne ou d'une chose. Elle permet seulement de rectifier une déclaration erronée, non de suppléer ou d'ajouter une expression de volonté inexistante (RO 72 II 230/1 consid. 2). En outre, il faut que la volonté du disposant puisse être constatée avec certitude. Ces conditions ne sont pas réunies en l'espèce. La volonté exprimée par le défunt est si peu claire qu'elle ne saurait produire aucun effet juridique. La clause no 1 du testament ne constitue donc pas une disposition à cause de mort susceptible d'exécution. Aussi le legs doit-il être déclaré non pas nul, mais inefficace, conformément aux principes dégagés par la jurisprudence (RO 81 II 27,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