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177</w:t>
      </w:r>
    </w:p>
    <w:p>
      <w:r>
        <w:t>Bundesgericht (BGE), 1963-01-01, DE</w:t>
      </w:r>
    </w:p>
    <w:p>
      <w:r>
        <w:rPr>
          <w:b/>
        </w:rPr>
        <w:t xml:space="preserve">Quelle: </w:t>
      </w:r>
      <w:r>
        <w:t>https://mcp.opencaselaw.ch/entscheid/bge_BGE_89_II_177</w:t>
      </w:r>
    </w:p>
    <w:p>
      <w:r>
        <w:t>FR: ATF 89 II 177</w:t>
      </w:r>
    </w:p>
    <w:p>
      <w:r>
        <w:t>IT: DTF 89 II 177</w:t>
      </w:r>
    </w:p>
    <w:p>
      <w:pPr>
        <w:pStyle w:val="Heading2"/>
      </w:pPr>
      <w:r>
        <w:t>Regeste</w:t>
      </w:r>
    </w:p>
    <w:p>
      <w:r>
        <w:t>Regeste Bestellung einer Beiratschaft nach Art 395 Abs 1 und 2 ZGB für betagte Witwe: Deren Absicht, ihre Liegenschaft zu gutem Preis zu verkaufen und mit dem Erlös ihre Lebensverhältnisse zu verbessern, ist nicht unvernünftig, wenn weder Unfähigkeit zur Vermögensverwaltung noch Neigung zu Verschwendung nachgewiesen ist. Das blosse Interesse der Erben an der Erhaltung und Äufnung des Nachlassgutes vermag Einschränkung der Handlungsfähigkeit nicht zu rechtfertigen.</w:t>
      </w:r>
    </w:p>
    <w:p>
      <w:r>
        <w:t>Regeste Institution d'un conseil légal selon l'art. 395 al. 1 et 2 CC à une veuve âgée. L'intention manifestée par celle-ci de vendre à bon prix son immeuble pour améliorer son train de vie avec le produit de la vente n'est pas déraisonnable, du moment que l'instruction n'a pas établi que la venderesse fût incapable d'administrer sa fortune ni qu'elle inclinât au gaspillage. Le seul intérêt des héritiers à conserver et augmenter le patrimoine que leur auteur laissera à son décès ne saurait justifier une restriction de l'exercice des droits civils.</w:t>
      </w:r>
    </w:p>
    <w:p>
      <w:r>
        <w:t>Regesto Nomina di un assistente secondo l'art. 395 cpv. 1 e 2 CC a una vedova anziana. L'intenzione manifestata dalla medesima di vendere a buon prezzo il suo immobile per migliorare il suo tenore di vita con il provento della vendita non è irragionevole, qualora dall'istruttoria non risulti che la venditrice sia incapace di amministrare la sua sostanza, nè ch'essa sia incline allo sperpero. Il solo interesse degli eredi a conservare e ad aumentare il patrimonio della presunta futura successione non giustifica una limitazione dell'esercizio dei diritti civili.</w:t>
      </w:r>
    </w:p>
    <w:p>
      <w:pPr>
        <w:pStyle w:val="Heading2"/>
      </w:pPr>
      <w:r>
        <w:t>Erwägungen</w:t>
      </w:r>
    </w:p>
    <w:p>
      <w:r>
        <w:rPr>
          <w:b/>
        </w:rPr>
        <w:t>E. 1</w:t>
      </w:r>
    </w:p>
    <w:p>
      <w:r>
        <w:t>(Zulässigkeit der Berufung).</w:t>
      </w:r>
    </w:p>
    <w:p>
      <w:r>
        <w:rPr>
          <w:b/>
        </w:rPr>
        <w:t>E. 2</w:t>
      </w:r>
    </w:p>
    <w:p>
      <w:r>
        <w:t>Nach Art. 395 Abs. 1 ZGB ist eine Beiratschaft nur zu errichten, wenn sie sich im Interesse des Interdizenden als notwendig erweist. Es muss also bewiesen oder doch sehr wahrscheinlich sein, dass dieser bei selbständiger Vermögensverwaltung sich selbst oder von ihm zu erhaltende Familienangehörige in eine Notlage bringen würde. Eine allfällige Beeinträchtigung von Anwartschaften seiner Erben bildet keinen Grund, ihn unter Beiratschaft zu stellen. ( BGE 78 II 336 f., BGE 88 II 249 f.).</w:t>
      </w:r>
    </w:p>
    <w:p>
      <w:r>
        <w:rPr>
          <w:b/>
        </w:rPr>
        <w:t>E. 3</w:t>
      </w:r>
    </w:p>
    <w:p>
      <w:r>
        <w:t>Vorliegend erblicken die Vormundschaftsbehörde und die Vorinstanzen den Nachweis oder doch die Wahrscheinlichkeit dafür, dass die Beklagte sich finanziell gefährden würde, in der Art und Weise, wie sie ihr Haus verkaufen und den Erlös verwenden will. Konkrete Tatsachen für diese Gefährdung, d.h. für eine Neigung zu leichtfertigem BGE 89 II 177 S. 180 Handeln in finanziellen Fragen werden aber nicht genannt. a) Die Beklagte hat offenbar nicht unvorsichtig und leichtfertig, sondern im Gegenteil recht umsichtig gehandelt, wenn sie Offerten von Fr. 380'000. - und Franken 400'000. - für das Vorkaufsrecht abgelehnt und, nach eigenen Berechnungen, es erst zu Fr. 430'000.-- eingeräumt hat. Dieser Preis erscheint nach den Akten heute als angemessen, ja als eher hoch. Die Überprüfungen von Bezirksrichter Dr. Kuster ergaben, dass zur Zeit mit einem Erlös von mindestens Fr. 400'000. - zu rechnen sei; soviel wie die "Mobag" für den Fall ihres Vorkaufs (Fr. 430.000.--) habe sonst niemand geboten. Wie die Vorinstanz zu ihrer Hypothese kam, es könnte "bei einer geschickten Verhandlungstaktik" noch mehr gelöst werden, ist nicht ersichtlich. Offenbar müsste diese Taktik vor allem in einem Zuwarten bestehen, bis die Konjunktur die Preise noch höher hinaufgetrieben hat. Es kann aber der Beklagten gewiss nicht als unvernünftiges Handeln ausgelegt werden, dass sie, bald 72-jährig, jetzt verkaufen will, um sich mit ihrem Geld ihren Lebensabend angenehmer zu gestalten. Und dass sie mit dem Vorkaufsvertrag die Möglichkeit einhandelte, sofort eine Mietwohnung zu erhalten und damit den unschönen häuslichen Verhältnissen zu entgehen, ist ebenfalls, wie die Vorinstanz selbst festhält, "nicht abwegig". b) Bis zu ihrem Auszug aus dem eigenen Haus hat die Beklagte, wie die Vorinstanz feststellt, ihr Vermögen, im Wesentlichen aus diesem Haus bestehend, selbst verwaltet. Dass sie dabei irgendwie verschwenderisch oder sonst unvorsichtig gehandelt hätte, ist nicht festgestellt, und warum sie nach dem Verkauf des Hauses nicht mehr zur Verwaltung des Barvermögens fähig sein sollte, ergibt sich aus den Akten nicht. Die von der Vorinstanz genannten "kleinen Widersprüche und Affektäusserungen" bilden kein ernsthaftes Indiz in dieser Richtung. Die Widersprüche beziehen sich auf die Pläne über die teilweise Verwendung des Verkaufserlöses - Kauf einer Wohnung im Tessin, BGE 89 II 177 S. 181 ev. vorläufiges Verbleiben in Zürich, Schenkung von je Fr. 50'000. - an die beiden Kinder, an den Sohn aber nur, wenn er anständig sei. Die Affektäusserungen erfolgten, als das Gespräch mit dem psychiatrischen Gutachter auf die hässlichen Szenen mit Sohn und Schwiegertochter kam. Daraus auf eine Unfähigkeit zur Vermögensverwaltung zu schliessen, geht zu weit. Übrigens stellt die Vorinstanz selbst fest, die Beklagte würde nicht in eine Notlage geraten, falls sie die Absicht, den Kindern Fr. 100'000. - zu überlassen, ausführen sollte. c) Die Beklagte hat selbst einen Anwalt beigezogen und ausdrücklich erklärt, sie werde sich von ihm auch beim Hausverkauf und bei der spätern Vermögensverwaltung beraten und vertreten lassen. Dass sie das nicht ernst meine, es vielmehr nur vorschütze, um damit der Verbeiratung zu entgehen, ist nicht dargetan und ergibt sich insbesondere, nach dem bereits Gesagten, keineswegs aus den erwähnten Widersprüchen und affektbedingten Äusserungen. Somit fehlt es auch in dieser Hinsicht an der Notwendigkeit einer Einschränkung der Handlungsfreiheit.</w:t>
      </w:r>
    </w:p>
    <w:p>
      <w:r>
        <w:rPr>
          <w:b/>
        </w:rPr>
        <w:t>E. 4</w:t>
      </w:r>
    </w:p>
    <w:p>
      <w:r>
        <w:t>.....</w:t>
      </w:r>
    </w:p>
    <w:p>
      <w:r>
        <w:rPr>
          <w:b/>
        </w:rPr>
        <w:t>E. 5</w:t>
      </w:r>
    </w:p>
    <w:p>
      <w:r>
        <w:t>Auf die Aussagen des Gutachters, die Beklagte leide hinsichtlich weit zurückliegender Daten an Gedächtnislücken, bei Rechnungsexperimenten ermüde sie rasch und es liege "sehr wahrscheinlich" eine beginnende Arteriosklerose vor, hat die Vorinstanz mit Recht kein grosses Gewicht gelegt. Diese Erscheinungen, welche die Beklagte mit vielen Leuten ihres Alters gemeinsam hat, sind keine die Beschränkung der Handlungsfähigkeit rechtfertigenden Anomalien. Entscheidend muss sein, dass sie, wie der Gutachter festhält, heute "im Ganzen geistig noch recht beweglich" und ihr Denken "normal geordnet" ist. Es ist somit nicht erwiesen, dass die Beklagte sich bisher durch eine unvernünftige Vermögensverwaltung gefährdete, oder dass sie mit ihren derzeitigen finanziellen Plänen eine Gefährdung herbeiführen werde, falls ihr nicht ein amtlicher Beirat zur Seite steht. Die blosse Möglichkeit, dass BGE 89 II 177 S. 182 sie sich durch einen gesetzlichen Beirat zu einer Anfechtung des Vorkaufsvertrages, zu einem Aufschub des Hausverkaufs und damit zu einem besseren Verkaufsgeschäft - aber auch inzwischen zu einem bescheideneren persönlichen Lebensaufwand zugunsten der Äufnung von Erbschaftsgut bewegen liesse, kann nach der erwähnten Praxis, an der festzuhalten ist, die Einschränkung ihrer Handlungsfähigkeit nicht rechtfertigen.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