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III 7</w:t>
      </w:r>
    </w:p>
    <w:p>
      <w:r>
        <w:t>Bundesgericht (BGE), 1963-02-27, DE</w:t>
      </w:r>
    </w:p>
    <w:p>
      <w:r>
        <w:rPr>
          <w:b/>
        </w:rPr>
        <w:t xml:space="preserve">Quelle: </w:t>
      </w:r>
      <w:r>
        <w:t>https://mcp.opencaselaw.ch/entscheid/bge_BGE_89_III_7</w:t>
      </w:r>
    </w:p>
    <w:p>
      <w:r>
        <w:t>FR: ATF 89 III 7</w:t>
      </w:r>
    </w:p>
    <w:p>
      <w:r>
        <w:t>IT: DTF 89 III 7</w:t>
      </w:r>
    </w:p>
    <w:p>
      <w:pPr>
        <w:pStyle w:val="Heading2"/>
      </w:pPr>
      <w:r>
        <w:t>Regeste</w:t>
      </w:r>
    </w:p>
    <w:p>
      <w:r>
        <w:t>Regeste Betreibungsort des Wohnsitzes. Art. 46 Abs. 1 und 53 SchKG. Der Schuldner, der zur Zeit der Pfändungsankündigung die durch konkludente Handlungen und ausdrückliche Erklärungen bezeugte Absicht hat, sich an einem bestimmten Ort dauernd niederzulassen, hat dort seinen Wohnsitz, auch wenn er sich in jenem Zeitpunkt krankheitshalber anderswo aufhält.</w:t>
      </w:r>
    </w:p>
    <w:p>
      <w:r>
        <w:t>Regeste For du domicile. Art. 46 al. 1 et 53 LP. Lorsqu'au moment de l'avis de saisie, l'intention du débiteur, prouvée par des actes concluants et des déclarations expresses, est de s'établir de manière durable dans un endroit déterminé, c'est là qu'est le domicile, même si le débiteur séjourne ailleurs pour cause de maladie.</w:t>
      </w:r>
    </w:p>
    <w:p>
      <w:r>
        <w:t>Regesto Luogo dell'esecuzione al domicilio. Art. 46 cpv. 1 e 53 LEF. Il debitore che, nel momento in cui riceve l'avviso di pignoramento, ha l'intenzione, provata da atti concludenti e da esplicite dichiarazioni, di stabilirsi in modo duraturo in un determinato luogo, ha quivi il suo domicilio, anche se in quel momento soggiorna altrove per causa di malattia.</w:t>
      </w:r>
    </w:p>
    <w:p>
      <w:pPr>
        <w:pStyle w:val="Heading2"/>
      </w:pPr>
      <w:r>
        <w:t>Erwägungen</w:t>
      </w:r>
    </w:p>
    <w:p>
      <w:r>
        <w:rPr>
          <w:b/>
        </w:rPr>
        <w:t>E. 1</w:t>
      </w:r>
    </w:p>
    <w:p>
      <w:r>
        <w:t>Nach Art. 46 Abs. 1 SchKG ist der Schuldner an seinem Wohnsitz zu betreiben. Verändert er diesen, nachdem ihm die Pfändung angekündigt worden ist, so wird die Betreibung am bisherigen Orte fortgesetzt ( Art. 53 SchKG ). Im vorliegenden Falle war somit das Betreibungsamt Horgen zum Vollzug der Pfändung zuständig, sofern der Rekurrent im Zeitpunkt der Pfändungsankündigung, die am 20. November 1961 erfolgte, seinen Wohnsitz in Horgen hatte, d.h. dort mit der Absicht dauernden Verbleibens niedergelassen war ( Art. 23 Abs. 1 ZGB ; BGE 82 III 12 ).</w:t>
      </w:r>
    </w:p>
    <w:p>
      <w:r>
        <w:rPr>
          <w:b/>
        </w:rPr>
        <w:t>E. 2</w:t>
      </w:r>
    </w:p>
    <w:p>
      <w:r>
        <w:t>Nach dem angefochtenen Entscheid steht mit Sicherheit fest, dass der Rekurrent am 20. November 1961 nicht mehr in Zürich wohnte, sondern sich dort am 25. Oktober 1961 nach Horgen abgemeldet hatte. Aus verschiedenen konkludenten Handlungen und ausdrücklichen BGE 89 III 7 S. 9 Erklärungen Schraners folgerte die Vorinstanz weiter, dass dieser beim Umzug nach Horgen und auch noch zur Zeit der Pfändungsankündigung die Absicht hatte, sich dauernd dort niederzulassen. Und in der Tat hatte er in Horgen eine Wohnung gemietet, seinen Hausrat dorthin verbracht und für die Zeit seiner Abwesenheit in Bendel eine Person beauftragt, seine Hausgeschäfte in Horgen zu besorgen und in der Wohnung zum Rechten zu sehen. Auch hatte er anlässlich des Rückzugs seiner Scheidungsklage erklärt, bei deren Einleitung Ende Dezember 1961 die Absicht gehabt zu haben, ständig in Horgen zu bleiben, und sich weiter im Frühjahr 1962, als er in Kappel betrieben wurde, auf den Standpunkt gestellt, er habe seinen Wohnsitz in Horgen. Angesichts dessen hat die Vorinstanz mit Recht auf jene Absicht und nicht auf den Umstand abgestellt, dass sich der Rekurrent zur Zeit der Pfändungsankündigung nicht tatsächlich in Horgen aufhielt. Seine Abwesenheit war nicht eine freiwillige in dem Sinne, dass er nicht in Horgen sein wollte, sondern sie war durch seinen Gesundheitszustand bedingt. Unter diesen Umständen war es sachlich gerechtfertigt, sie als vorübergehend, zufällig und nicht massgebend zu erachten, zumal der Aufenthalt Schraners in Bendel nach dessen eigener Erklärung ein blosser Kuraufenthalt war, also einem Sonderzweck diente, was die Annahme eines Wohnsitzes an diesem Orte ohnehin ausschlösse (EGGER, Kommentar, N. 26 zu Art. 23 ZGB ; s. auchBGE 20 I 40, 306; BGE 25 I 53 ). Dass Schraner später die Absicht dauernden Verbleibens in Horgen aufgegeben haben mag, ist für die Entscheidung der Frage nach seinem Wohnsitz am 20. November 1961 ohne Belang.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