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36</w:t>
      </w:r>
    </w:p>
    <w:p>
      <w:r>
        <w:t>Bundesgericht (BGE), 1963-05-11, DE</w:t>
      </w:r>
    </w:p>
    <w:p>
      <w:r>
        <w:rPr>
          <w:b/>
        </w:rPr>
        <w:t xml:space="preserve">Quelle: </w:t>
      </w:r>
      <w:r>
        <w:t>https://mcp.opencaselaw.ch/entscheid/bge_BGE_89_III_36</w:t>
      </w:r>
    </w:p>
    <w:p>
      <w:r>
        <w:t>FR: ATF 89 III 36</w:t>
      </w:r>
    </w:p>
    <w:p>
      <w:r>
        <w:t>IT: DTF 89 III 36</w:t>
      </w:r>
    </w:p>
    <w:p>
      <w:pPr>
        <w:pStyle w:val="Heading2"/>
      </w:pPr>
      <w:r>
        <w:t>Regeste</w:t>
      </w:r>
    </w:p>
    <w:p>
      <w:r>
        <w:t>Regeste Forderungsuberweisung. Kostenabzug. Art. 131 Abs. 2 SchKG. Auslagen, die der nach Art. 131 Abs. 2 SchKG vorgehende Gläubiger vom Ergebnis der Eintreibung abziehen kann. Befugnis des Drittschuldners zur Bestreitung dieser Auslagen verneint, Legitimation des Betreibungsschuldners dagegen bejaht.</w:t>
      </w:r>
    </w:p>
    <w:p>
      <w:r>
        <w:t>Regeste Remise à l'encaissement d'une créance saisie. Déduction des frais. Art. 131 al. 2 LP. Frais déductibles du produit obtenu - en agissant contre le tiers débiteur - par le créancier qui procède conformément à l'art. 131 al. 2 LP. Le débiteur poursuivi a qualité pour contester ces frais, mais non pas le tiers débiteur.</w:t>
      </w:r>
    </w:p>
    <w:p>
      <w:r>
        <w:t>Regesto Cessione di crediti per l'incasso. Deduzione di spese. Art. 131 cpv. 2 LEF. Spese deducibili dal provento che il creditore ha realizzato agendo contro il terzo debitore conformemente all'art. 131 cpv. 2 LEF. Il debitore escusso ha qualità per contestare queste spese, ma non il terzo debitore.</w:t>
      </w:r>
    </w:p>
    <w:p>
      <w:pPr>
        <w:pStyle w:val="Heading2"/>
      </w:pPr>
      <w:r>
        <w:t>Erwägungen</w:t>
      </w:r>
    </w:p>
    <w:p>
      <w:r>
        <w:rPr>
          <w:b/>
        </w:rPr>
        <w:t>E. 1</w:t>
      </w:r>
    </w:p>
    <w:p>
      <w:r>
        <w:t>Durch den angefochtenen Entscheid ist Frau Keller nicht beschwert. Unbekümmert darum, wieviel in dem gegen ihren Ehemann ergangenen Pfändungsverlustschein als Ergebnis der Betreibung und damit als ungedeckt gebliebener Betrag vermerkt ist, hat sie als Arbeitgeberin und Lohnschuldnerin ihres Mannes in Zukunft jedenfalls nicht mehr als den gepfändeten Lohnanteil zu bezahlen. Da der Beschluss der oberen kantonalen Aufsichtsbehörde BGE 89 III 36 S. 39 nicht die Lohnpfändung, sondern ausschliesslich die Frage betrifft, was die Betreibungsgläubigerin von dem im Verfahren gegen Eugen Keller erzielten Betreibungsergebnis an Auslagen in Abzug bringen darf, wurde somit die Rekurrentin durch den angefochtenen Entscheid in ihren rechtlich geschützten Interessen nicht verletzt. Auf ihr Rechtsmittel ist daher mangels Legitimation nicht einzutreten.</w:t>
      </w:r>
    </w:p>
    <w:p>
      <w:r>
        <w:rPr>
          <w:b/>
        </w:rPr>
        <w:t>E. 2</w:t>
      </w:r>
    </w:p>
    <w:p>
      <w:r>
        <w:t>Anders verhält es sich mit dem Rekurs des Betreibungsschuldners Keller. Der angefochtene Entscheid will zwar das Recht auf Bestreitung der von einem nach Art. 131 Abs. 2 SchKG vorgehenden Gläubiger geltend gemachten Auslagen nur den andern an der Pfändung teilnehmenden Gläubigern, nicht aber auch dem Schuldner einräumen. Danach wäre für die Berechnung der Verlustscheinsforderung - vorbehältlich einer den andern Gläubigern zustehenden Kollokationsklage - unbesehen auf die vom eintreibenden Gläubiger eingereichte Rechnung über seine Kosten und Auslagen abzustellen, und dem Schuldner bliebe bloss die Möglichkeit einer Rückforderungsklage, wenn er nicht einer zwangsweisen Eintreibung einer derart berechneten Verlustscheinsforderung im Weg der Feststellungsklage zuvorzukommen vermocht haben sollte. Ihn jedoch auf diesen Umweg zu verweisen und von einer direkten Abwehr ungerechtfertigter Kostenforderungen auszuschliessen, geht nicht an. Wo über die Kostenforderung des eintreibenden Gläubigers noch keine richterliche Entscheidung ergangen ist, weil die Eintreibung ohne Inanspruchnahme des Richters möglich war, mag es als taugliches Mittel zur Wahrung der berechtigten Interessen des Schuldners erscheinen, diesem eine Klagefrist zu setzen, nach deren unbenütztem Ablauf die Kostenforderung als anerkannt zu gelten hätte (s. den Entscheid der Aufsichtsbehörde von Basel-Stadt vom 18. April 1939, SJZ 36, S. 367). Dort aber, wo, wie im vorliegenden Falle, der Drittschuldner gerichtlich belangt werden musste, ist dieser Weg nicht gangbar. BGE 89 III 36 S. 40 Der im Prozess gegen den Drittschuldner ergangene Kostenentscheid ist entgegen der Auffassung der Vorinstanz nicht eine "res inter alios acta". Der eintreibende Gläubiger hat auch die Interessen des Betreibungsschuldners zu wahren und haftet ihm für schuldhaft zugefügten Schaden (s. JÄGER, Kommentar, N. 11 zu Art. 131). Dieser Rechtslage entspricht es, dem Gläubiger den Abzug nur derjenigen Kosten am Prozessergebnis zu gestatten, deren Ersatz ihm der Richter im Prozess gegen den Drittschuldner zugesprochen hat. Will er, wie hier, behaupten, die Zusprechung nur eines Teils seiner Kosten habe der Betreibungsschuldner durch mangelhafte Unterstützung im Prozess oder gar arglistig verschuldet, so muss er für den Rest seiner Auslagen den Rechtsweg gegen diesen beschreiten. Ihm dafür eine Frist zu setzen, besteht kein Anlass. Einstweilen soll er sich mit dem Abzug des ihm bereits zugesprochenen Kostenersatzes begnügen und den verbleibenden Teil seiner Auslagen in einem neuen Verfahren geltend machen. Es liegt denn auch in seinem eigenen Interesse, vorläufig einmal den Verlustschein ohne Rücksicht auf den streitigen Kostenbetrag ausgehändigt zu erhalten. Dabei versteht sich von selbst, dass das Gesagte nur im Verhältnis zwischen eintreibendem Gläubiger und Schuldner gilt. Im Verhältnis mehrerer Gruppengläubiger unter sich ist ein Streit über die Inkassokosten im Kollokationsverfahren auszutragen. Im vorliegenden Falle rechtfertigt sich die genannte Lösung umso mehr, als die Gläubigerin den für sie ungünstigen Kostenentscheid selber verschuldet hat. Nach den im Forderungsprozess getroffenen Feststellungen waren infolge ihrer Saumseligkeit nur gerade die vom Obergericht zugesprochenen Fr. 1'540.-- gültig gepfändet, so dass sie ohnehin nicht mehr fordern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